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5807" w14:textId="22E697FD" w:rsidR="007E6904" w:rsidRDefault="007E6904" w:rsidP="007E6904">
      <w:pPr>
        <w:jc w:val="center"/>
        <w:rPr>
          <w:b/>
          <w:sz w:val="28"/>
        </w:rPr>
      </w:pPr>
      <w:r w:rsidRPr="0049623D">
        <w:rPr>
          <w:b/>
          <w:sz w:val="32"/>
          <w:szCs w:val="32"/>
        </w:rPr>
        <w:t>Lab-Specific Standard Operating Procedure</w:t>
      </w:r>
      <w:r>
        <w:rPr>
          <w:b/>
          <w:sz w:val="32"/>
          <w:szCs w:val="32"/>
        </w:rPr>
        <w:t>s for General Hazard Classes</w:t>
      </w:r>
      <w:r w:rsidR="005666C0">
        <w:rPr>
          <w:b/>
          <w:sz w:val="32"/>
          <w:szCs w:val="32"/>
        </w:rPr>
        <w:t>: Toxic Materials</w:t>
      </w:r>
    </w:p>
    <w:p w14:paraId="5B434D34" w14:textId="77777777" w:rsidR="00B22302" w:rsidRPr="00EA438C" w:rsidRDefault="00B22302" w:rsidP="00B22302">
      <w:pPr>
        <w:rPr>
          <w:b/>
          <w:sz w:val="28"/>
        </w:rPr>
      </w:pPr>
      <w:r>
        <w:rPr>
          <w:b/>
          <w:sz w:val="28"/>
        </w:rPr>
        <w:t xml:space="preserve">Introduction </w:t>
      </w:r>
    </w:p>
    <w:p w14:paraId="3FF5A29A" w14:textId="77777777" w:rsidR="00B22302" w:rsidRPr="00F60929" w:rsidRDefault="00B22302" w:rsidP="00B22302">
      <w:pPr>
        <w:rPr>
          <w:sz w:val="24"/>
          <w:szCs w:val="24"/>
        </w:rPr>
      </w:pPr>
      <w:r w:rsidRPr="00F60929">
        <w:rPr>
          <w:sz w:val="24"/>
          <w:szCs w:val="24"/>
        </w:rPr>
        <w:t xml:space="preserve">The hazard class Standard Operating Procedures (SOPs) provided by the Department of Environmental Health and Safety (DEHS) are </w:t>
      </w:r>
      <w:r>
        <w:rPr>
          <w:sz w:val="24"/>
          <w:szCs w:val="24"/>
        </w:rPr>
        <w:t>i</w:t>
      </w:r>
      <w:r w:rsidRPr="00F60929">
        <w:rPr>
          <w:sz w:val="24"/>
          <w:szCs w:val="24"/>
        </w:rPr>
        <w:t xml:space="preserve">ntended </w:t>
      </w:r>
      <w:r>
        <w:rPr>
          <w:sz w:val="24"/>
          <w:szCs w:val="24"/>
        </w:rPr>
        <w:t xml:space="preserve">as a voluntary resource </w:t>
      </w:r>
      <w:r w:rsidRPr="00F60929">
        <w:rPr>
          <w:sz w:val="24"/>
          <w:szCs w:val="24"/>
        </w:rPr>
        <w:t>to provide general guidance on how to work with these materials and to provide a template for laboratories to customize to fit their needs.</w:t>
      </w:r>
    </w:p>
    <w:p w14:paraId="4D6BB833" w14:textId="77777777" w:rsidR="00B22302" w:rsidRDefault="00B22302" w:rsidP="00B22302">
      <w:pPr>
        <w:rPr>
          <w:sz w:val="24"/>
          <w:szCs w:val="24"/>
        </w:rPr>
      </w:pPr>
      <w:r w:rsidRPr="00F60929">
        <w:rPr>
          <w:sz w:val="24"/>
          <w:szCs w:val="24"/>
        </w:rPr>
        <w:t xml:space="preserve">These SOPs </w:t>
      </w:r>
      <w:r>
        <w:rPr>
          <w:sz w:val="24"/>
          <w:szCs w:val="24"/>
        </w:rPr>
        <w:t xml:space="preserve">templates </w:t>
      </w:r>
      <w:r w:rsidRPr="00F60929">
        <w:rPr>
          <w:sz w:val="24"/>
          <w:szCs w:val="24"/>
        </w:rPr>
        <w:t xml:space="preserve">should be used for materials with one hazard class </w:t>
      </w:r>
      <w:r>
        <w:rPr>
          <w:sz w:val="24"/>
          <w:szCs w:val="24"/>
        </w:rPr>
        <w:t>and</w:t>
      </w:r>
      <w:r w:rsidRPr="00F60929">
        <w:rPr>
          <w:sz w:val="24"/>
          <w:szCs w:val="24"/>
        </w:rPr>
        <w:t xml:space="preserve"> for procedures </w:t>
      </w:r>
      <w:r>
        <w:rPr>
          <w:sz w:val="24"/>
          <w:szCs w:val="24"/>
        </w:rPr>
        <w:t>and</w:t>
      </w:r>
      <w:r w:rsidRPr="00F60929">
        <w:rPr>
          <w:sz w:val="24"/>
          <w:szCs w:val="24"/>
        </w:rPr>
        <w:t xml:space="preserve"> materials requir</w:t>
      </w:r>
      <w:r>
        <w:rPr>
          <w:sz w:val="24"/>
          <w:szCs w:val="24"/>
        </w:rPr>
        <w:t xml:space="preserve">ing only basic </w:t>
      </w:r>
      <w:r w:rsidRPr="00F60929">
        <w:rPr>
          <w:sz w:val="24"/>
          <w:szCs w:val="24"/>
        </w:rPr>
        <w:t>PPE</w:t>
      </w:r>
      <w:r>
        <w:rPr>
          <w:sz w:val="24"/>
          <w:szCs w:val="24"/>
        </w:rPr>
        <w:t xml:space="preserve"> (i.e., lab coats, goggles, and nitrile gloves). </w:t>
      </w:r>
      <w:r w:rsidRPr="00F60929">
        <w:rPr>
          <w:sz w:val="24"/>
          <w:szCs w:val="24"/>
        </w:rPr>
        <w:t xml:space="preserve"> </w:t>
      </w:r>
    </w:p>
    <w:p w14:paraId="38865698" w14:textId="77777777" w:rsidR="00B22302" w:rsidRPr="00177CBA" w:rsidRDefault="00B22302" w:rsidP="00B22302">
      <w:pPr>
        <w:rPr>
          <w:sz w:val="24"/>
          <w:szCs w:val="24"/>
        </w:rPr>
      </w:pPr>
      <w:r>
        <w:rPr>
          <w:sz w:val="24"/>
          <w:szCs w:val="24"/>
        </w:rPr>
        <w:t>For more complex procedures and materials with multiple hazards these templates can be used</w:t>
      </w:r>
      <w:r w:rsidRPr="00F60929">
        <w:rPr>
          <w:sz w:val="24"/>
          <w:szCs w:val="24"/>
        </w:rPr>
        <w:t xml:space="preserve"> as guidance </w:t>
      </w:r>
      <w:r>
        <w:rPr>
          <w:sz w:val="24"/>
          <w:szCs w:val="24"/>
        </w:rPr>
        <w:t>when conducting</w:t>
      </w:r>
      <w:r w:rsidRPr="00F60929">
        <w:rPr>
          <w:sz w:val="24"/>
          <w:szCs w:val="24"/>
        </w:rPr>
        <w:t xml:space="preserve"> your lab’s own risk assessment, </w:t>
      </w:r>
      <w:r>
        <w:rPr>
          <w:sz w:val="24"/>
          <w:szCs w:val="24"/>
        </w:rPr>
        <w:t xml:space="preserve">and writing procedure specific </w:t>
      </w:r>
      <w:r w:rsidRPr="00177CBA">
        <w:rPr>
          <w:sz w:val="24"/>
          <w:szCs w:val="24"/>
        </w:rPr>
        <w:t xml:space="preserve">SOPs.  </w:t>
      </w:r>
    </w:p>
    <w:p w14:paraId="14B4C56F" w14:textId="77777777" w:rsidR="00B22302" w:rsidRPr="00F60929" w:rsidRDefault="00B22302" w:rsidP="00B22302">
      <w:pPr>
        <w:spacing w:line="240" w:lineRule="auto"/>
        <w:rPr>
          <w:sz w:val="24"/>
          <w:szCs w:val="24"/>
        </w:rPr>
      </w:pPr>
      <w:r w:rsidRPr="008F7815">
        <w:rPr>
          <w:sz w:val="24"/>
          <w:szCs w:val="24"/>
        </w:rPr>
        <w:t xml:space="preserve">If you have any questions about writing Standard Operating Procedures, chemical safety, hazard assessment, or any other research safety questions, </w:t>
      </w:r>
      <w:r w:rsidRPr="00ED23D5">
        <w:rPr>
          <w:sz w:val="24"/>
          <w:szCs w:val="24"/>
        </w:rPr>
        <w:t xml:space="preserve">contact your Departmental Safety Officer (DSO) </w:t>
      </w:r>
      <w:r>
        <w:rPr>
          <w:sz w:val="24"/>
          <w:szCs w:val="24"/>
        </w:rPr>
        <w:t>or call your DEHS Research Safety Professional</w:t>
      </w:r>
      <w:r w:rsidRPr="008F7815">
        <w:rPr>
          <w:sz w:val="24"/>
          <w:szCs w:val="24"/>
        </w:rPr>
        <w:t xml:space="preserve"> (612) 626-6002. </w:t>
      </w:r>
    </w:p>
    <w:p w14:paraId="76070059" w14:textId="77777777" w:rsidR="00B22302" w:rsidRPr="00EA438C" w:rsidRDefault="00B22302" w:rsidP="00B22302">
      <w:pPr>
        <w:rPr>
          <w:b/>
          <w:sz w:val="28"/>
        </w:rPr>
      </w:pPr>
      <w:r w:rsidRPr="00EA438C">
        <w:rPr>
          <w:b/>
          <w:sz w:val="28"/>
        </w:rPr>
        <w:t>Instructions</w:t>
      </w:r>
    </w:p>
    <w:p w14:paraId="05A54C0C" w14:textId="77777777" w:rsidR="00B22302" w:rsidRPr="00F60929" w:rsidRDefault="00B22302" w:rsidP="00B22302">
      <w:pPr>
        <w:rPr>
          <w:sz w:val="24"/>
          <w:szCs w:val="24"/>
        </w:rPr>
      </w:pPr>
      <w:r w:rsidRPr="00F60929">
        <w:rPr>
          <w:sz w:val="24"/>
          <w:szCs w:val="24"/>
        </w:rPr>
        <w:t xml:space="preserve">All text or spaces in yellow are intended for customization by your laboratory. Fill in the information needed, customized for your lab’s accepted practices, materials used, available resources, etc. Consider which materials your lab uses in the hazard class, and what your lab is experienced with and feels comfortable handling. You can also add any specific information, best practices, or other lab-specific information you would like. </w:t>
      </w:r>
    </w:p>
    <w:p w14:paraId="316329A0" w14:textId="77777777" w:rsidR="00B22302" w:rsidRPr="00F60929" w:rsidRDefault="00B22302" w:rsidP="00B22302">
      <w:pPr>
        <w:rPr>
          <w:sz w:val="24"/>
          <w:szCs w:val="24"/>
        </w:rPr>
      </w:pPr>
      <w:r w:rsidRPr="00F60929">
        <w:rPr>
          <w:sz w:val="24"/>
          <w:szCs w:val="24"/>
        </w:rPr>
        <w:t xml:space="preserve">If you are unsure if a specific material or procedure requires its own SOP, contact DEHS for guidance. </w:t>
      </w:r>
    </w:p>
    <w:p w14:paraId="44409A9E" w14:textId="77777777" w:rsidR="00B22302" w:rsidRDefault="00B22302" w:rsidP="00B22302">
      <w:pPr>
        <w:rPr>
          <w:sz w:val="24"/>
          <w:szCs w:val="24"/>
        </w:rPr>
      </w:pPr>
      <w:r w:rsidRPr="00F60929">
        <w:rPr>
          <w:sz w:val="24"/>
          <w:szCs w:val="24"/>
        </w:rPr>
        <w:t xml:space="preserve">When complete, ensure the SOP is approved by the lab’s PI and added to your lab’s safety </w:t>
      </w:r>
      <w:r>
        <w:rPr>
          <w:sz w:val="24"/>
          <w:szCs w:val="24"/>
        </w:rPr>
        <w:t xml:space="preserve">manual and annual </w:t>
      </w:r>
      <w:r w:rsidRPr="00F60929">
        <w:rPr>
          <w:sz w:val="24"/>
          <w:szCs w:val="24"/>
        </w:rPr>
        <w:t>training. SOPs should be reviewed with all lab members annually, and should be reviewed and updated at a minimum of every 3 years.</w:t>
      </w:r>
    </w:p>
    <w:p w14:paraId="466A9323" w14:textId="77777777" w:rsidR="00F60929" w:rsidRDefault="00F60929" w:rsidP="007E6904"/>
    <w:p w14:paraId="190411FB" w14:textId="77777777" w:rsidR="007E6904" w:rsidRDefault="007E6904" w:rsidP="002E0279">
      <w:pPr>
        <w:jc w:val="center"/>
        <w:rPr>
          <w:b/>
          <w:sz w:val="32"/>
          <w:szCs w:val="32"/>
        </w:rPr>
      </w:pPr>
    </w:p>
    <w:p w14:paraId="75D93464" w14:textId="77777777" w:rsidR="00E05504" w:rsidRDefault="00E05504" w:rsidP="002E0279">
      <w:pPr>
        <w:jc w:val="center"/>
        <w:rPr>
          <w:b/>
          <w:sz w:val="32"/>
          <w:szCs w:val="32"/>
        </w:rPr>
      </w:pPr>
    </w:p>
    <w:p w14:paraId="28BBE361" w14:textId="77777777" w:rsidR="00E05504" w:rsidRDefault="00E05504" w:rsidP="002E0279">
      <w:pPr>
        <w:jc w:val="center"/>
        <w:rPr>
          <w:b/>
          <w:sz w:val="32"/>
          <w:szCs w:val="32"/>
        </w:rPr>
      </w:pPr>
    </w:p>
    <w:p w14:paraId="4B0ECE3D" w14:textId="77777777" w:rsidR="00E05504" w:rsidRDefault="00E05504" w:rsidP="002E0279">
      <w:pPr>
        <w:jc w:val="center"/>
        <w:rPr>
          <w:b/>
          <w:sz w:val="32"/>
          <w:szCs w:val="32"/>
        </w:rPr>
      </w:pPr>
    </w:p>
    <w:p w14:paraId="038F9889" w14:textId="5549B46F" w:rsidR="007254F5" w:rsidRPr="0049623D" w:rsidRDefault="001412C5" w:rsidP="002E0279">
      <w:pPr>
        <w:jc w:val="center"/>
        <w:rPr>
          <w:b/>
          <w:sz w:val="32"/>
          <w:szCs w:val="32"/>
        </w:rPr>
      </w:pPr>
      <w:r w:rsidRPr="0049623D">
        <w:rPr>
          <w:b/>
          <w:sz w:val="32"/>
          <w:szCs w:val="32"/>
        </w:rPr>
        <w:lastRenderedPageBreak/>
        <w:t xml:space="preserve">Lab-Specific </w:t>
      </w:r>
      <w:r w:rsidR="002E0279" w:rsidRPr="0049623D">
        <w:rPr>
          <w:b/>
          <w:sz w:val="32"/>
          <w:szCs w:val="32"/>
        </w:rPr>
        <w:t>Standard Operating Procedure</w:t>
      </w:r>
    </w:p>
    <w:p w14:paraId="36DB7F29" w14:textId="6460FEAC" w:rsidR="002E0279" w:rsidRPr="0049623D" w:rsidRDefault="002E0279" w:rsidP="002E0279">
      <w:pPr>
        <w:spacing w:after="360"/>
        <w:jc w:val="center"/>
        <w:rPr>
          <w:b/>
          <w:sz w:val="32"/>
          <w:szCs w:val="32"/>
        </w:rPr>
      </w:pPr>
      <w:r w:rsidRPr="0049623D">
        <w:rPr>
          <w:b/>
          <w:sz w:val="32"/>
          <w:szCs w:val="32"/>
        </w:rPr>
        <w:t xml:space="preserve">Safe Use and Handling of </w:t>
      </w:r>
      <w:r w:rsidR="00EC2A51">
        <w:rPr>
          <w:b/>
          <w:sz w:val="32"/>
          <w:szCs w:val="32"/>
        </w:rPr>
        <w:t>Toxic</w:t>
      </w:r>
      <w:r w:rsidR="0049623D" w:rsidRPr="0049623D">
        <w:rPr>
          <w:b/>
          <w:sz w:val="32"/>
          <w:szCs w:val="32"/>
        </w:rPr>
        <w:t xml:space="preserve"> </w:t>
      </w:r>
      <w:r w:rsidRPr="0049623D">
        <w:rPr>
          <w:b/>
          <w:sz w:val="32"/>
          <w:szCs w:val="32"/>
        </w:rPr>
        <w:t>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255"/>
        <w:gridCol w:w="1980"/>
        <w:gridCol w:w="2690"/>
      </w:tblGrid>
      <w:tr w:rsidR="002E0279" w:rsidRPr="0049623D" w14:paraId="1A7D7875" w14:textId="77777777" w:rsidTr="002E0279">
        <w:trPr>
          <w:jc w:val="center"/>
        </w:trPr>
        <w:tc>
          <w:tcPr>
            <w:tcW w:w="1705" w:type="dxa"/>
          </w:tcPr>
          <w:p w14:paraId="1DAA1500"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PI:</w:t>
            </w:r>
          </w:p>
        </w:tc>
        <w:tc>
          <w:tcPr>
            <w:tcW w:w="2255" w:type="dxa"/>
            <w:tcBorders>
              <w:bottom w:val="single" w:sz="4" w:space="0" w:color="auto"/>
            </w:tcBorders>
          </w:tcPr>
          <w:p w14:paraId="20F450F5" w14:textId="6423A281" w:rsidR="002E0279" w:rsidRPr="0049623D" w:rsidRDefault="006964C9" w:rsidP="00B054D6">
            <w:pPr>
              <w:rPr>
                <w:rFonts w:asciiTheme="minorHAnsi" w:hAnsiTheme="minorHAnsi"/>
                <w:i/>
                <w:sz w:val="28"/>
                <w:szCs w:val="28"/>
                <w:highlight w:val="yellow"/>
              </w:rPr>
            </w:pPr>
            <w:r>
              <w:rPr>
                <w:rFonts w:asciiTheme="minorHAnsi" w:hAnsiTheme="minorHAnsi"/>
                <w:i/>
                <w:sz w:val="28"/>
                <w:szCs w:val="28"/>
                <w:highlight w:val="yellow"/>
              </w:rPr>
              <w:t>Scully, D.</w:t>
            </w:r>
          </w:p>
        </w:tc>
        <w:tc>
          <w:tcPr>
            <w:tcW w:w="1980" w:type="dxa"/>
          </w:tcPr>
          <w:p w14:paraId="57D28412"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Lab Location:</w:t>
            </w:r>
          </w:p>
        </w:tc>
        <w:tc>
          <w:tcPr>
            <w:tcW w:w="2690" w:type="dxa"/>
            <w:tcBorders>
              <w:bottom w:val="single" w:sz="4" w:space="0" w:color="auto"/>
            </w:tcBorders>
          </w:tcPr>
          <w:p w14:paraId="422181CD" w14:textId="77777777" w:rsidR="002E0279" w:rsidRPr="0049623D" w:rsidRDefault="002E0279" w:rsidP="00B054D6">
            <w:pPr>
              <w:jc w:val="both"/>
              <w:rPr>
                <w:rFonts w:asciiTheme="minorHAnsi" w:hAnsiTheme="minorHAnsi"/>
                <w:i/>
                <w:sz w:val="28"/>
                <w:szCs w:val="28"/>
                <w:highlight w:val="yellow"/>
              </w:rPr>
            </w:pPr>
            <w:r w:rsidRPr="0049623D">
              <w:rPr>
                <w:rFonts w:asciiTheme="minorHAnsi" w:hAnsiTheme="minorHAnsi"/>
                <w:i/>
                <w:sz w:val="28"/>
                <w:szCs w:val="28"/>
                <w:highlight w:val="yellow"/>
              </w:rPr>
              <w:t>Boynton W-132</w:t>
            </w:r>
          </w:p>
        </w:tc>
      </w:tr>
      <w:tr w:rsidR="002E0279" w:rsidRPr="0049623D" w14:paraId="7A56A4B9" w14:textId="77777777" w:rsidTr="002E0279">
        <w:trPr>
          <w:jc w:val="center"/>
        </w:trPr>
        <w:tc>
          <w:tcPr>
            <w:tcW w:w="1705" w:type="dxa"/>
          </w:tcPr>
          <w:p w14:paraId="5A82D1F5"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Issue Date:</w:t>
            </w:r>
          </w:p>
        </w:tc>
        <w:tc>
          <w:tcPr>
            <w:tcW w:w="2255" w:type="dxa"/>
            <w:tcBorders>
              <w:top w:val="single" w:sz="4" w:space="0" w:color="auto"/>
              <w:bottom w:val="single" w:sz="4" w:space="0" w:color="auto"/>
            </w:tcBorders>
          </w:tcPr>
          <w:p w14:paraId="67BD7958" w14:textId="77777777" w:rsidR="002E0279" w:rsidRPr="0049623D" w:rsidRDefault="002E0279" w:rsidP="00B054D6">
            <w:pPr>
              <w:rPr>
                <w:rFonts w:asciiTheme="minorHAnsi" w:hAnsiTheme="minorHAnsi"/>
                <w:i/>
                <w:sz w:val="28"/>
                <w:szCs w:val="28"/>
                <w:highlight w:val="yellow"/>
              </w:rPr>
            </w:pPr>
            <w:r w:rsidRPr="0049623D">
              <w:rPr>
                <w:rFonts w:asciiTheme="minorHAnsi" w:hAnsiTheme="minorHAnsi"/>
                <w:i/>
                <w:sz w:val="28"/>
                <w:szCs w:val="28"/>
                <w:highlight w:val="yellow"/>
              </w:rPr>
              <w:t>9/12/2016</w:t>
            </w:r>
          </w:p>
        </w:tc>
        <w:tc>
          <w:tcPr>
            <w:tcW w:w="1980" w:type="dxa"/>
          </w:tcPr>
          <w:p w14:paraId="6AE520E6"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Revision Date:</w:t>
            </w:r>
          </w:p>
        </w:tc>
        <w:tc>
          <w:tcPr>
            <w:tcW w:w="2690" w:type="dxa"/>
            <w:tcBorders>
              <w:top w:val="single" w:sz="4" w:space="0" w:color="auto"/>
              <w:bottom w:val="single" w:sz="4" w:space="0" w:color="auto"/>
            </w:tcBorders>
          </w:tcPr>
          <w:p w14:paraId="732C0206" w14:textId="7F632B75" w:rsidR="002E0279" w:rsidRPr="0049623D" w:rsidRDefault="002E0279" w:rsidP="009335C3">
            <w:pPr>
              <w:jc w:val="both"/>
              <w:rPr>
                <w:rFonts w:asciiTheme="minorHAnsi" w:hAnsiTheme="minorHAnsi"/>
                <w:i/>
                <w:sz w:val="28"/>
                <w:szCs w:val="28"/>
                <w:highlight w:val="yellow"/>
              </w:rPr>
            </w:pPr>
            <w:r w:rsidRPr="0049623D">
              <w:rPr>
                <w:rFonts w:asciiTheme="minorHAnsi" w:hAnsiTheme="minorHAnsi"/>
                <w:i/>
                <w:sz w:val="28"/>
                <w:szCs w:val="28"/>
                <w:highlight w:val="yellow"/>
              </w:rPr>
              <w:t>9/12/201</w:t>
            </w:r>
            <w:r w:rsidR="009335C3">
              <w:rPr>
                <w:rFonts w:asciiTheme="minorHAnsi" w:hAnsiTheme="minorHAnsi"/>
                <w:i/>
                <w:sz w:val="28"/>
                <w:szCs w:val="28"/>
                <w:highlight w:val="yellow"/>
              </w:rPr>
              <w:t>9</w:t>
            </w:r>
          </w:p>
        </w:tc>
      </w:tr>
      <w:tr w:rsidR="002E0279" w:rsidRPr="0049623D" w14:paraId="130AB7E1" w14:textId="77777777" w:rsidTr="002E0279">
        <w:trPr>
          <w:jc w:val="center"/>
        </w:trPr>
        <w:tc>
          <w:tcPr>
            <w:tcW w:w="1705" w:type="dxa"/>
          </w:tcPr>
          <w:p w14:paraId="68FA59D8"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Prepared by:</w:t>
            </w:r>
          </w:p>
        </w:tc>
        <w:tc>
          <w:tcPr>
            <w:tcW w:w="2255" w:type="dxa"/>
            <w:tcBorders>
              <w:top w:val="single" w:sz="4" w:space="0" w:color="auto"/>
              <w:bottom w:val="single" w:sz="4" w:space="0" w:color="auto"/>
            </w:tcBorders>
          </w:tcPr>
          <w:p w14:paraId="6755B16C" w14:textId="248BC695" w:rsidR="002E0279" w:rsidRPr="0049623D" w:rsidRDefault="006964C9" w:rsidP="00B054D6">
            <w:pPr>
              <w:rPr>
                <w:rFonts w:asciiTheme="minorHAnsi" w:hAnsiTheme="minorHAnsi"/>
                <w:i/>
                <w:sz w:val="28"/>
                <w:szCs w:val="28"/>
                <w:highlight w:val="yellow"/>
              </w:rPr>
            </w:pPr>
            <w:r>
              <w:rPr>
                <w:rFonts w:asciiTheme="minorHAnsi" w:hAnsiTheme="minorHAnsi"/>
                <w:i/>
                <w:sz w:val="28"/>
                <w:szCs w:val="28"/>
                <w:highlight w:val="yellow"/>
              </w:rPr>
              <w:t>Mulder, F</w:t>
            </w:r>
            <w:r w:rsidR="006479CD">
              <w:rPr>
                <w:rFonts w:asciiTheme="minorHAnsi" w:hAnsiTheme="minorHAnsi"/>
                <w:i/>
                <w:sz w:val="28"/>
                <w:szCs w:val="28"/>
                <w:highlight w:val="yellow"/>
              </w:rPr>
              <w:t>.</w:t>
            </w:r>
          </w:p>
        </w:tc>
        <w:tc>
          <w:tcPr>
            <w:tcW w:w="1980" w:type="dxa"/>
          </w:tcPr>
          <w:p w14:paraId="5D846309"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Approved by:</w:t>
            </w:r>
          </w:p>
        </w:tc>
        <w:tc>
          <w:tcPr>
            <w:tcW w:w="2690" w:type="dxa"/>
            <w:tcBorders>
              <w:top w:val="single" w:sz="4" w:space="0" w:color="auto"/>
              <w:bottom w:val="single" w:sz="4" w:space="0" w:color="auto"/>
            </w:tcBorders>
          </w:tcPr>
          <w:p w14:paraId="3AD83234" w14:textId="214DFA67" w:rsidR="002E0279" w:rsidRPr="0049623D" w:rsidRDefault="006964C9" w:rsidP="00B054D6">
            <w:pPr>
              <w:jc w:val="both"/>
              <w:rPr>
                <w:rFonts w:asciiTheme="minorHAnsi" w:hAnsiTheme="minorHAnsi"/>
                <w:i/>
                <w:sz w:val="28"/>
                <w:szCs w:val="28"/>
                <w:highlight w:val="yellow"/>
              </w:rPr>
            </w:pPr>
            <w:r>
              <w:rPr>
                <w:rFonts w:asciiTheme="minorHAnsi" w:hAnsiTheme="minorHAnsi"/>
                <w:i/>
                <w:sz w:val="28"/>
                <w:szCs w:val="28"/>
                <w:highlight w:val="yellow"/>
              </w:rPr>
              <w:t>Skinner, W</w:t>
            </w:r>
            <w:r w:rsidR="006479CD">
              <w:rPr>
                <w:rFonts w:asciiTheme="minorHAnsi" w:hAnsiTheme="minorHAnsi"/>
                <w:i/>
                <w:sz w:val="28"/>
                <w:szCs w:val="28"/>
                <w:highlight w:val="yellow"/>
              </w:rPr>
              <w:t>.</w:t>
            </w:r>
          </w:p>
        </w:tc>
      </w:tr>
    </w:tbl>
    <w:p w14:paraId="1D3CF50D" w14:textId="77777777" w:rsidR="002E0279" w:rsidRPr="0049623D" w:rsidRDefault="002E0279" w:rsidP="002E0279">
      <w:pPr>
        <w:jc w:val="center"/>
        <w:rPr>
          <w:b/>
          <w:sz w:val="32"/>
          <w:szCs w:val="32"/>
        </w:rPr>
      </w:pPr>
    </w:p>
    <w:p w14:paraId="2A72F5AA" w14:textId="0D1AE205" w:rsidR="002E0279" w:rsidRPr="0049623D" w:rsidRDefault="00A30976" w:rsidP="002E0279">
      <w:pPr>
        <w:rPr>
          <w:b/>
          <w:i/>
          <w:sz w:val="28"/>
          <w:szCs w:val="32"/>
        </w:rPr>
      </w:pPr>
      <w:r>
        <w:rPr>
          <w:noProof/>
        </w:rPr>
        <w:drawing>
          <wp:anchor distT="0" distB="0" distL="114300" distR="114300" simplePos="0" relativeHeight="251658240" behindDoc="0" locked="0" layoutInCell="1" allowOverlap="1" wp14:anchorId="14A00EBC" wp14:editId="01938348">
            <wp:simplePos x="0" y="0"/>
            <wp:positionH relativeFrom="column">
              <wp:posOffset>4865427</wp:posOffset>
            </wp:positionH>
            <wp:positionV relativeFrom="paragraph">
              <wp:posOffset>189685</wp:posOffset>
            </wp:positionV>
            <wp:extent cx="822960" cy="8229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002E0279" w:rsidRPr="0049623D">
        <w:rPr>
          <w:b/>
          <w:i/>
          <w:sz w:val="28"/>
          <w:szCs w:val="32"/>
        </w:rPr>
        <w:t>Hazard Identification</w:t>
      </w:r>
    </w:p>
    <w:p w14:paraId="4650728F" w14:textId="132016CF" w:rsidR="0020464C" w:rsidRPr="0049623D" w:rsidRDefault="00D41072" w:rsidP="002E0279">
      <w:pPr>
        <w:rPr>
          <w:sz w:val="24"/>
          <w:szCs w:val="32"/>
        </w:rPr>
      </w:pPr>
      <w:r>
        <w:rPr>
          <w:sz w:val="24"/>
          <w:szCs w:val="32"/>
        </w:rPr>
        <w:t>Toxic</w:t>
      </w:r>
      <w:r w:rsidR="00252EDC" w:rsidRPr="0049623D">
        <w:rPr>
          <w:sz w:val="24"/>
          <w:szCs w:val="32"/>
        </w:rPr>
        <w:t xml:space="preserve"> material containers must be labeled at a minimum with the name of the contents and the word “</w:t>
      </w:r>
      <w:r>
        <w:rPr>
          <w:sz w:val="24"/>
          <w:szCs w:val="32"/>
        </w:rPr>
        <w:t>Toxic</w:t>
      </w:r>
      <w:r w:rsidR="00252EDC" w:rsidRPr="0049623D">
        <w:rPr>
          <w:sz w:val="24"/>
          <w:szCs w:val="32"/>
        </w:rPr>
        <w:t xml:space="preserve">” or the GHS pictogram for </w:t>
      </w:r>
      <w:r>
        <w:rPr>
          <w:sz w:val="24"/>
          <w:szCs w:val="32"/>
        </w:rPr>
        <w:t>toxic</w:t>
      </w:r>
      <w:r w:rsidR="00252EDC" w:rsidRPr="0049623D">
        <w:rPr>
          <w:sz w:val="24"/>
          <w:szCs w:val="32"/>
        </w:rPr>
        <w:t xml:space="preserve"> materials, pictured </w:t>
      </w:r>
      <w:r w:rsidR="0020464C">
        <w:rPr>
          <w:sz w:val="24"/>
          <w:szCs w:val="32"/>
        </w:rPr>
        <w:t>below</w:t>
      </w:r>
      <w:r w:rsidR="00252EDC" w:rsidRPr="0049623D">
        <w:rPr>
          <w:sz w:val="24"/>
          <w:szCs w:val="32"/>
        </w:rPr>
        <w:t xml:space="preserve">. Information on the </w:t>
      </w:r>
      <w:r w:rsidRPr="0049623D">
        <w:rPr>
          <w:sz w:val="24"/>
          <w:szCs w:val="32"/>
        </w:rPr>
        <w:t>particular</w:t>
      </w:r>
      <w:r w:rsidR="00252EDC" w:rsidRPr="0049623D">
        <w:rPr>
          <w:sz w:val="24"/>
          <w:szCs w:val="32"/>
        </w:rPr>
        <w:t xml:space="preserve"> hazards of specific materials can be found in their SDS.</w:t>
      </w:r>
    </w:p>
    <w:p w14:paraId="2271D234" w14:textId="78CA7821" w:rsidR="002E0279" w:rsidRPr="0049623D" w:rsidRDefault="00611334" w:rsidP="002E0279">
      <w:pPr>
        <w:rPr>
          <w:sz w:val="24"/>
          <w:szCs w:val="32"/>
        </w:rPr>
      </w:pPr>
      <w:r w:rsidRPr="0049623D">
        <w:rPr>
          <w:sz w:val="24"/>
          <w:szCs w:val="32"/>
        </w:rPr>
        <w:t xml:space="preserve">Examples of </w:t>
      </w:r>
      <w:r w:rsidR="00D41072">
        <w:rPr>
          <w:sz w:val="24"/>
          <w:szCs w:val="32"/>
        </w:rPr>
        <w:t>toxics</w:t>
      </w:r>
      <w:r w:rsidR="00252EDC" w:rsidRPr="0049623D">
        <w:rPr>
          <w:sz w:val="24"/>
          <w:szCs w:val="32"/>
        </w:rPr>
        <w:t xml:space="preserve"> in use in the </w:t>
      </w:r>
      <w:r w:rsidR="006479CD">
        <w:rPr>
          <w:sz w:val="24"/>
          <w:szCs w:val="32"/>
          <w:highlight w:val="yellow"/>
        </w:rPr>
        <w:t>Scully lab</w:t>
      </w:r>
      <w:r w:rsidR="00252EDC" w:rsidRPr="0049623D">
        <w:rPr>
          <w:sz w:val="24"/>
          <w:szCs w:val="32"/>
        </w:rPr>
        <w:t xml:space="preserve"> include:</w:t>
      </w:r>
    </w:p>
    <w:p w14:paraId="0399C7B2"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1</w:t>
      </w:r>
    </w:p>
    <w:p w14:paraId="3D8EB0FC"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2</w:t>
      </w:r>
    </w:p>
    <w:p w14:paraId="26288BAA"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3</w:t>
      </w:r>
    </w:p>
    <w:p w14:paraId="14076B96" w14:textId="77777777" w:rsidR="00A30976" w:rsidRDefault="002E0279" w:rsidP="002E0279">
      <w:pPr>
        <w:rPr>
          <w:b/>
          <w:i/>
          <w:sz w:val="28"/>
          <w:szCs w:val="32"/>
        </w:rPr>
      </w:pPr>
      <w:r w:rsidRPr="0049623D">
        <w:rPr>
          <w:b/>
          <w:i/>
          <w:sz w:val="28"/>
          <w:szCs w:val="32"/>
        </w:rPr>
        <w:t>Risk Assessment</w:t>
      </w:r>
    </w:p>
    <w:p w14:paraId="35D0B1CF" w14:textId="226CF7DF" w:rsidR="006479CD" w:rsidRDefault="00AA5F92" w:rsidP="002E0279">
      <w:pPr>
        <w:rPr>
          <w:sz w:val="24"/>
          <w:szCs w:val="32"/>
        </w:rPr>
      </w:pPr>
      <w:r w:rsidRPr="0049623D">
        <w:rPr>
          <w:sz w:val="24"/>
          <w:szCs w:val="32"/>
        </w:rPr>
        <w:t xml:space="preserve">The </w:t>
      </w:r>
      <w:r w:rsidRPr="00465350">
        <w:rPr>
          <w:color w:val="000000" w:themeColor="text1"/>
          <w:sz w:val="24"/>
          <w:szCs w:val="32"/>
        </w:rPr>
        <w:t xml:space="preserve">primary risk of working with </w:t>
      </w:r>
      <w:r w:rsidR="00FB01A4" w:rsidRPr="00465350">
        <w:rPr>
          <w:color w:val="000000" w:themeColor="text1"/>
          <w:sz w:val="24"/>
          <w:szCs w:val="32"/>
        </w:rPr>
        <w:t>toxic</w:t>
      </w:r>
      <w:r w:rsidRPr="00465350">
        <w:rPr>
          <w:color w:val="000000" w:themeColor="text1"/>
          <w:sz w:val="24"/>
          <w:szCs w:val="32"/>
        </w:rPr>
        <w:t xml:space="preserve"> materials is the potential for </w:t>
      </w:r>
      <w:r w:rsidR="00FB01A4" w:rsidRPr="00465350">
        <w:rPr>
          <w:color w:val="000000" w:themeColor="text1"/>
          <w:sz w:val="24"/>
          <w:szCs w:val="32"/>
        </w:rPr>
        <w:t>inhalation</w:t>
      </w:r>
      <w:r w:rsidR="006479CD" w:rsidRPr="00465350">
        <w:rPr>
          <w:color w:val="000000" w:themeColor="text1"/>
          <w:sz w:val="24"/>
          <w:szCs w:val="32"/>
        </w:rPr>
        <w:t xml:space="preserve"> or skin absorption</w:t>
      </w:r>
      <w:r w:rsidRPr="00465350">
        <w:rPr>
          <w:color w:val="000000" w:themeColor="text1"/>
          <w:sz w:val="24"/>
          <w:szCs w:val="32"/>
        </w:rPr>
        <w:t xml:space="preserve">. </w:t>
      </w:r>
      <w:r w:rsidR="006479CD" w:rsidRPr="00465350">
        <w:rPr>
          <w:color w:val="000000" w:themeColor="text1"/>
          <w:sz w:val="24"/>
          <w:szCs w:val="32"/>
        </w:rPr>
        <w:t>Toxic liquids may be ingested or generate inhalable vapors, dusts/powders may be aerosolized or inhaled, gases may be inhaled, and all forms may potentially be absorbed through the skin.</w:t>
      </w:r>
    </w:p>
    <w:p w14:paraId="4EA3310C" w14:textId="06A059D1" w:rsidR="00F60929" w:rsidRDefault="00F60929" w:rsidP="00F60929">
      <w:pPr>
        <w:rPr>
          <w:sz w:val="24"/>
          <w:szCs w:val="32"/>
        </w:rPr>
      </w:pPr>
      <w:r>
        <w:rPr>
          <w:sz w:val="24"/>
          <w:szCs w:val="32"/>
        </w:rPr>
        <w:t xml:space="preserve">This SOP should be used for any Globally Harmonized System (GHS) Category </w:t>
      </w:r>
      <w:r w:rsidR="00C1264F">
        <w:rPr>
          <w:sz w:val="24"/>
          <w:szCs w:val="32"/>
        </w:rPr>
        <w:t>2, 3 or 4</w:t>
      </w:r>
      <w:r>
        <w:rPr>
          <w:sz w:val="24"/>
          <w:szCs w:val="32"/>
        </w:rPr>
        <w:t xml:space="preserve"> – Acute Toxicity</w:t>
      </w:r>
      <w:r w:rsidR="00C1264F">
        <w:rPr>
          <w:sz w:val="24"/>
          <w:szCs w:val="32"/>
        </w:rPr>
        <w:t xml:space="preserve">.  Chemical specific SOPs should be written for use or handling of (GHS) Category 1 Acute Toxicity materials and for Toxic gases. </w:t>
      </w:r>
      <w:r>
        <w:rPr>
          <w:sz w:val="24"/>
          <w:szCs w:val="32"/>
        </w:rPr>
        <w:t xml:space="preserve">The GHS information can be found on the Safety Data Sheet (SDS) for the material. </w:t>
      </w:r>
    </w:p>
    <w:p w14:paraId="70390C9A" w14:textId="7C542705" w:rsidR="006479CD" w:rsidRDefault="00A30976">
      <w:pPr>
        <w:rPr>
          <w:sz w:val="24"/>
          <w:szCs w:val="32"/>
        </w:rPr>
      </w:pPr>
      <w:r>
        <w:rPr>
          <w:sz w:val="24"/>
          <w:szCs w:val="32"/>
        </w:rPr>
        <w:t xml:space="preserve">Toxics may have additional hazards associated with them, such as flammability. </w:t>
      </w:r>
      <w:r w:rsidR="006479CD">
        <w:rPr>
          <w:sz w:val="24"/>
          <w:szCs w:val="32"/>
        </w:rPr>
        <w:t>Materials with more than one hazard class are not addressed in this SOP, though it can be used as guidance on developing a material-specific SOP.</w:t>
      </w:r>
    </w:p>
    <w:p w14:paraId="6265FBDA" w14:textId="77777777" w:rsidR="002E0279" w:rsidRPr="0049623D" w:rsidRDefault="002E0279" w:rsidP="002E0279">
      <w:pPr>
        <w:rPr>
          <w:b/>
          <w:i/>
          <w:sz w:val="28"/>
          <w:szCs w:val="32"/>
        </w:rPr>
      </w:pPr>
      <w:r w:rsidRPr="0049623D">
        <w:rPr>
          <w:b/>
          <w:i/>
          <w:sz w:val="28"/>
          <w:szCs w:val="32"/>
        </w:rPr>
        <w:t>Control Plan</w:t>
      </w:r>
    </w:p>
    <w:p w14:paraId="12373B16" w14:textId="77777777" w:rsidR="00AA5F92" w:rsidRDefault="00AA5F92" w:rsidP="002E0279">
      <w:pPr>
        <w:rPr>
          <w:i/>
          <w:sz w:val="28"/>
          <w:szCs w:val="32"/>
        </w:rPr>
      </w:pPr>
      <w:r w:rsidRPr="0049623D">
        <w:rPr>
          <w:i/>
          <w:sz w:val="28"/>
          <w:szCs w:val="32"/>
        </w:rPr>
        <w:t>Storage</w:t>
      </w:r>
      <w:bookmarkStart w:id="0" w:name="_GoBack"/>
      <w:bookmarkEnd w:id="0"/>
      <w:r w:rsidRPr="0049623D">
        <w:rPr>
          <w:i/>
          <w:sz w:val="28"/>
          <w:szCs w:val="32"/>
        </w:rPr>
        <w:t xml:space="preserve"> and Transport</w:t>
      </w:r>
    </w:p>
    <w:p w14:paraId="78E043B2" w14:textId="72C352CA" w:rsidR="00BF7957" w:rsidRDefault="00BF7957" w:rsidP="008943BD">
      <w:pPr>
        <w:pStyle w:val="ListParagraph"/>
        <w:numPr>
          <w:ilvl w:val="0"/>
          <w:numId w:val="8"/>
        </w:numPr>
        <w:rPr>
          <w:sz w:val="24"/>
          <w:szCs w:val="24"/>
        </w:rPr>
      </w:pPr>
      <w:r>
        <w:rPr>
          <w:sz w:val="24"/>
          <w:szCs w:val="24"/>
        </w:rPr>
        <w:t>Limit the amount of toxics you have stored in your lab to the minimum amount possible. Avoid having more than one open container of the same material. Check inventory before ordering more.</w:t>
      </w:r>
    </w:p>
    <w:p w14:paraId="7B21233C" w14:textId="00B9844B" w:rsidR="008943BD" w:rsidRPr="008943BD" w:rsidRDefault="008943BD" w:rsidP="008943BD">
      <w:pPr>
        <w:pStyle w:val="ListParagraph"/>
        <w:numPr>
          <w:ilvl w:val="0"/>
          <w:numId w:val="8"/>
        </w:numPr>
        <w:rPr>
          <w:sz w:val="24"/>
          <w:szCs w:val="24"/>
        </w:rPr>
      </w:pPr>
      <w:r w:rsidRPr="008943BD">
        <w:rPr>
          <w:sz w:val="24"/>
          <w:szCs w:val="24"/>
        </w:rPr>
        <w:t>Store</w:t>
      </w:r>
      <w:r w:rsidR="00393339">
        <w:rPr>
          <w:sz w:val="24"/>
          <w:szCs w:val="24"/>
        </w:rPr>
        <w:t xml:space="preserve"> all toxics</w:t>
      </w:r>
      <w:r w:rsidRPr="008943BD">
        <w:rPr>
          <w:sz w:val="24"/>
          <w:szCs w:val="24"/>
        </w:rPr>
        <w:t xml:space="preserve"> in a dedicated area in secondary containment </w:t>
      </w:r>
      <w:r w:rsidR="006479CD">
        <w:rPr>
          <w:sz w:val="24"/>
          <w:szCs w:val="24"/>
        </w:rPr>
        <w:t>that is labeled</w:t>
      </w:r>
      <w:r w:rsidRPr="008943BD">
        <w:rPr>
          <w:sz w:val="24"/>
          <w:szCs w:val="24"/>
        </w:rPr>
        <w:t xml:space="preserve"> </w:t>
      </w:r>
      <w:r w:rsidR="006479CD">
        <w:rPr>
          <w:sz w:val="24"/>
          <w:szCs w:val="24"/>
        </w:rPr>
        <w:t>“</w:t>
      </w:r>
      <w:r w:rsidRPr="008943BD">
        <w:rPr>
          <w:sz w:val="24"/>
          <w:szCs w:val="24"/>
        </w:rPr>
        <w:t>Toxic</w:t>
      </w:r>
      <w:r w:rsidR="006479CD">
        <w:rPr>
          <w:sz w:val="24"/>
          <w:szCs w:val="24"/>
        </w:rPr>
        <w:t>”</w:t>
      </w:r>
      <w:r w:rsidRPr="008943BD">
        <w:rPr>
          <w:sz w:val="24"/>
          <w:szCs w:val="24"/>
        </w:rPr>
        <w:t>.</w:t>
      </w:r>
      <w:r w:rsidR="00393339">
        <w:rPr>
          <w:sz w:val="24"/>
          <w:szCs w:val="24"/>
        </w:rPr>
        <w:t xml:space="preserve"> </w:t>
      </w:r>
      <w:r w:rsidR="00393339" w:rsidRPr="00B73687">
        <w:rPr>
          <w:sz w:val="24"/>
          <w:szCs w:val="24"/>
          <w:highlight w:val="yellow"/>
        </w:rPr>
        <w:t>Consider limiting access to toxic material to designated lab personnel.</w:t>
      </w:r>
    </w:p>
    <w:p w14:paraId="117BFAD0" w14:textId="07D1EC3B" w:rsidR="008943BD" w:rsidRDefault="008943BD" w:rsidP="008943BD">
      <w:pPr>
        <w:pStyle w:val="ListParagraph"/>
        <w:numPr>
          <w:ilvl w:val="0"/>
          <w:numId w:val="8"/>
        </w:numPr>
        <w:rPr>
          <w:sz w:val="24"/>
          <w:szCs w:val="24"/>
        </w:rPr>
      </w:pPr>
      <w:r w:rsidRPr="008943BD">
        <w:rPr>
          <w:sz w:val="24"/>
          <w:szCs w:val="24"/>
        </w:rPr>
        <w:t xml:space="preserve">Toxic gas cylinders must be used and stored in </w:t>
      </w:r>
      <w:r w:rsidR="00BF7957">
        <w:rPr>
          <w:sz w:val="24"/>
          <w:szCs w:val="24"/>
        </w:rPr>
        <w:t xml:space="preserve">a </w:t>
      </w:r>
      <w:r w:rsidRPr="008943BD">
        <w:rPr>
          <w:sz w:val="24"/>
          <w:szCs w:val="24"/>
        </w:rPr>
        <w:t>ventilated gas cabinet or chemical fume hood.</w:t>
      </w:r>
    </w:p>
    <w:p w14:paraId="51941D97" w14:textId="2B5B268E" w:rsidR="008943BD" w:rsidRPr="00B73687" w:rsidRDefault="00F104C6" w:rsidP="00F104C6">
      <w:pPr>
        <w:pStyle w:val="ListParagraph"/>
        <w:numPr>
          <w:ilvl w:val="0"/>
          <w:numId w:val="8"/>
        </w:numPr>
        <w:rPr>
          <w:color w:val="000000" w:themeColor="text1"/>
          <w:sz w:val="24"/>
          <w:szCs w:val="24"/>
        </w:rPr>
      </w:pPr>
      <w:r>
        <w:rPr>
          <w:sz w:val="24"/>
          <w:szCs w:val="24"/>
        </w:rPr>
        <w:t xml:space="preserve">When </w:t>
      </w:r>
      <w:r w:rsidRPr="00B73687">
        <w:rPr>
          <w:color w:val="000000" w:themeColor="text1"/>
          <w:sz w:val="24"/>
          <w:szCs w:val="24"/>
        </w:rPr>
        <w:t xml:space="preserve">transporting toxic </w:t>
      </w:r>
      <w:r w:rsidR="00B73687" w:rsidRPr="00B73687">
        <w:rPr>
          <w:color w:val="000000" w:themeColor="text1"/>
          <w:sz w:val="24"/>
          <w:szCs w:val="24"/>
        </w:rPr>
        <w:t>materials</w:t>
      </w:r>
      <w:r w:rsidRPr="00B73687">
        <w:rPr>
          <w:color w:val="000000" w:themeColor="text1"/>
          <w:sz w:val="24"/>
          <w:szCs w:val="24"/>
        </w:rPr>
        <w:t xml:space="preserve"> outside of the lab, </w:t>
      </w:r>
      <w:r w:rsidRPr="00B73687">
        <w:rPr>
          <w:color w:val="000000" w:themeColor="text1"/>
          <w:sz w:val="24"/>
          <w:szCs w:val="32"/>
        </w:rPr>
        <w:t>containers should be fully enclosed so the contents would be contained if the bottle was dropped or broken.</w:t>
      </w:r>
    </w:p>
    <w:p w14:paraId="4A4BFEA7" w14:textId="60751C77" w:rsidR="00BF7957" w:rsidRPr="00B73687" w:rsidRDefault="00BF7957" w:rsidP="008943BD">
      <w:pPr>
        <w:pStyle w:val="ListParagraph"/>
        <w:numPr>
          <w:ilvl w:val="0"/>
          <w:numId w:val="8"/>
        </w:numPr>
        <w:rPr>
          <w:color w:val="000000" w:themeColor="text1"/>
          <w:sz w:val="24"/>
          <w:szCs w:val="24"/>
        </w:rPr>
      </w:pPr>
      <w:r w:rsidRPr="00B73687">
        <w:rPr>
          <w:color w:val="000000" w:themeColor="text1"/>
          <w:sz w:val="24"/>
          <w:szCs w:val="24"/>
        </w:rPr>
        <w:t>Dispose of unused or expired toxics as soon as possible.</w:t>
      </w:r>
    </w:p>
    <w:p w14:paraId="3E87DE4B" w14:textId="77777777" w:rsidR="008943BD" w:rsidRPr="008943BD" w:rsidRDefault="008943BD" w:rsidP="008943BD">
      <w:pPr>
        <w:pStyle w:val="ListParagraph"/>
        <w:rPr>
          <w:i/>
          <w:sz w:val="28"/>
          <w:szCs w:val="32"/>
        </w:rPr>
      </w:pPr>
    </w:p>
    <w:p w14:paraId="18BCD9C8" w14:textId="77777777" w:rsidR="00AA5F92" w:rsidRPr="0049623D" w:rsidRDefault="00AA5F92" w:rsidP="002E0279">
      <w:pPr>
        <w:rPr>
          <w:i/>
          <w:sz w:val="28"/>
          <w:szCs w:val="32"/>
        </w:rPr>
      </w:pPr>
      <w:r w:rsidRPr="0049623D">
        <w:rPr>
          <w:i/>
          <w:sz w:val="28"/>
          <w:szCs w:val="32"/>
        </w:rPr>
        <w:t>Set-Up and Active Work</w:t>
      </w:r>
    </w:p>
    <w:p w14:paraId="4828061B" w14:textId="7E31942B" w:rsidR="008943BD" w:rsidRDefault="008943BD" w:rsidP="00393339">
      <w:pPr>
        <w:pStyle w:val="ListParagraph"/>
        <w:numPr>
          <w:ilvl w:val="0"/>
          <w:numId w:val="4"/>
        </w:numPr>
        <w:rPr>
          <w:sz w:val="24"/>
          <w:szCs w:val="32"/>
        </w:rPr>
      </w:pPr>
      <w:r w:rsidRPr="008943BD">
        <w:rPr>
          <w:sz w:val="24"/>
          <w:szCs w:val="32"/>
        </w:rPr>
        <w:t xml:space="preserve">Designate an area where toxic materials will be used and label </w:t>
      </w:r>
      <w:r w:rsidR="00F104C6">
        <w:rPr>
          <w:sz w:val="24"/>
          <w:szCs w:val="32"/>
        </w:rPr>
        <w:t xml:space="preserve">it </w:t>
      </w:r>
      <w:r w:rsidRPr="008943BD">
        <w:rPr>
          <w:sz w:val="24"/>
          <w:szCs w:val="32"/>
        </w:rPr>
        <w:t xml:space="preserve">appropriately. </w:t>
      </w:r>
      <w:r w:rsidR="00393339">
        <w:rPr>
          <w:sz w:val="24"/>
          <w:szCs w:val="32"/>
        </w:rPr>
        <w:t>Ensure this area is not used for other work.</w:t>
      </w:r>
      <w:r>
        <w:rPr>
          <w:sz w:val="24"/>
          <w:szCs w:val="32"/>
        </w:rPr>
        <w:t xml:space="preserve"> </w:t>
      </w:r>
    </w:p>
    <w:p w14:paraId="1F3E8332" w14:textId="30588EEA" w:rsidR="008943BD" w:rsidRDefault="008943BD" w:rsidP="008943BD">
      <w:pPr>
        <w:pStyle w:val="ListParagraph"/>
        <w:numPr>
          <w:ilvl w:val="0"/>
          <w:numId w:val="4"/>
        </w:numPr>
        <w:rPr>
          <w:sz w:val="24"/>
          <w:szCs w:val="32"/>
        </w:rPr>
      </w:pPr>
      <w:r w:rsidRPr="008943BD">
        <w:rPr>
          <w:sz w:val="24"/>
          <w:szCs w:val="32"/>
        </w:rPr>
        <w:t>Handle all toxic solutions over plastic backed absorbent sheets.  After each use</w:t>
      </w:r>
      <w:r w:rsidR="00393339">
        <w:rPr>
          <w:sz w:val="24"/>
          <w:szCs w:val="32"/>
        </w:rPr>
        <w:t>,</w:t>
      </w:r>
      <w:r w:rsidRPr="008943BD">
        <w:rPr>
          <w:sz w:val="24"/>
          <w:szCs w:val="32"/>
        </w:rPr>
        <w:t xml:space="preserve"> dispose of </w:t>
      </w:r>
      <w:r w:rsidR="00B22091" w:rsidRPr="008943BD">
        <w:rPr>
          <w:sz w:val="24"/>
          <w:szCs w:val="32"/>
        </w:rPr>
        <w:t>absorbent</w:t>
      </w:r>
      <w:r w:rsidRPr="008943BD">
        <w:rPr>
          <w:sz w:val="24"/>
          <w:szCs w:val="32"/>
        </w:rPr>
        <w:t xml:space="preserve"> sheets, wipe down area and all equipment used. </w:t>
      </w:r>
    </w:p>
    <w:p w14:paraId="68B46813" w14:textId="367FF0F0" w:rsidR="008943BD" w:rsidRDefault="008943BD" w:rsidP="008943BD">
      <w:pPr>
        <w:pStyle w:val="ListParagraph"/>
        <w:numPr>
          <w:ilvl w:val="0"/>
          <w:numId w:val="4"/>
        </w:numPr>
        <w:rPr>
          <w:sz w:val="24"/>
          <w:szCs w:val="32"/>
        </w:rPr>
      </w:pPr>
      <w:r w:rsidRPr="008943BD">
        <w:rPr>
          <w:sz w:val="24"/>
          <w:szCs w:val="32"/>
        </w:rPr>
        <w:t>Remov</w:t>
      </w:r>
      <w:r w:rsidR="00393339">
        <w:rPr>
          <w:sz w:val="24"/>
          <w:szCs w:val="32"/>
        </w:rPr>
        <w:t>e PPE and wash hands thoroughly after work.</w:t>
      </w:r>
      <w:r w:rsidRPr="008943BD">
        <w:rPr>
          <w:sz w:val="24"/>
          <w:szCs w:val="32"/>
        </w:rPr>
        <w:t xml:space="preserve"> </w:t>
      </w:r>
    </w:p>
    <w:p w14:paraId="33363D88" w14:textId="36BCDB85" w:rsidR="008943BD" w:rsidRDefault="008943BD" w:rsidP="008943BD">
      <w:pPr>
        <w:pStyle w:val="ListParagraph"/>
        <w:numPr>
          <w:ilvl w:val="0"/>
          <w:numId w:val="4"/>
        </w:numPr>
        <w:rPr>
          <w:sz w:val="24"/>
          <w:szCs w:val="32"/>
        </w:rPr>
      </w:pPr>
      <w:r w:rsidRPr="008943BD">
        <w:rPr>
          <w:sz w:val="24"/>
          <w:szCs w:val="32"/>
        </w:rPr>
        <w:t xml:space="preserve">At the end of a project, thoroughly </w:t>
      </w:r>
      <w:r w:rsidR="00393339">
        <w:rPr>
          <w:sz w:val="24"/>
          <w:szCs w:val="32"/>
        </w:rPr>
        <w:t>clean</w:t>
      </w:r>
      <w:r w:rsidRPr="008943BD">
        <w:rPr>
          <w:sz w:val="24"/>
          <w:szCs w:val="32"/>
        </w:rPr>
        <w:t xml:space="preserve"> the designated area before resuming normal laboratory work in the area.</w:t>
      </w:r>
      <w:r w:rsidR="00393339">
        <w:rPr>
          <w:sz w:val="24"/>
          <w:szCs w:val="32"/>
        </w:rPr>
        <w:t xml:space="preserve"> Use specific decontamination procedures if appropriate, or refer to procedure-specific SOP.</w:t>
      </w:r>
    </w:p>
    <w:p w14:paraId="6EB4F9D5" w14:textId="00515637" w:rsidR="00AC48F4" w:rsidRPr="00B73687" w:rsidRDefault="00E366E0" w:rsidP="008943BD">
      <w:pPr>
        <w:pStyle w:val="ListParagraph"/>
        <w:numPr>
          <w:ilvl w:val="0"/>
          <w:numId w:val="4"/>
        </w:numPr>
        <w:rPr>
          <w:sz w:val="24"/>
          <w:szCs w:val="32"/>
          <w:highlight w:val="yellow"/>
        </w:rPr>
      </w:pPr>
      <w:r w:rsidRPr="00B73687">
        <w:rPr>
          <w:sz w:val="24"/>
          <w:szCs w:val="32"/>
          <w:highlight w:val="yellow"/>
        </w:rPr>
        <w:t>If you use a toxic material</w:t>
      </w:r>
      <w:r w:rsidR="00AC48F4" w:rsidRPr="00B73687">
        <w:rPr>
          <w:sz w:val="24"/>
          <w:szCs w:val="32"/>
          <w:highlight w:val="yellow"/>
        </w:rPr>
        <w:t xml:space="preserve"> with a carrier agent such as DMSO</w:t>
      </w:r>
      <w:r w:rsidR="00393339" w:rsidRPr="00B73687">
        <w:rPr>
          <w:sz w:val="24"/>
          <w:szCs w:val="32"/>
          <w:highlight w:val="yellow"/>
        </w:rPr>
        <w:t>,</w:t>
      </w:r>
      <w:r w:rsidR="00AC48F4" w:rsidRPr="00B73687">
        <w:rPr>
          <w:sz w:val="24"/>
          <w:szCs w:val="32"/>
          <w:highlight w:val="yellow"/>
        </w:rPr>
        <w:t xml:space="preserve"> contact </w:t>
      </w:r>
      <w:r w:rsidR="00393339" w:rsidRPr="00B73687">
        <w:rPr>
          <w:sz w:val="24"/>
          <w:szCs w:val="32"/>
          <w:highlight w:val="yellow"/>
        </w:rPr>
        <w:t>your Departmental Safety Officer</w:t>
      </w:r>
      <w:r w:rsidR="00AC48F4" w:rsidRPr="00B73687">
        <w:rPr>
          <w:sz w:val="24"/>
          <w:szCs w:val="32"/>
          <w:highlight w:val="yellow"/>
        </w:rPr>
        <w:t xml:space="preserve"> for consultation.</w:t>
      </w:r>
    </w:p>
    <w:p w14:paraId="0DDDCF4E" w14:textId="77777777" w:rsidR="00AA5F92" w:rsidRPr="0049623D" w:rsidRDefault="00AA5F92" w:rsidP="002E0279">
      <w:pPr>
        <w:rPr>
          <w:i/>
          <w:sz w:val="28"/>
          <w:szCs w:val="32"/>
        </w:rPr>
      </w:pPr>
      <w:r w:rsidRPr="0049623D">
        <w:rPr>
          <w:i/>
          <w:sz w:val="28"/>
          <w:szCs w:val="32"/>
        </w:rPr>
        <w:t>Exposure Controls</w:t>
      </w:r>
    </w:p>
    <w:p w14:paraId="1880B9E3" w14:textId="2E761474" w:rsidR="008943BD" w:rsidRDefault="00EC2F87" w:rsidP="008943BD">
      <w:pPr>
        <w:pStyle w:val="ListParagraph"/>
        <w:numPr>
          <w:ilvl w:val="0"/>
          <w:numId w:val="5"/>
        </w:numPr>
        <w:rPr>
          <w:sz w:val="24"/>
          <w:szCs w:val="32"/>
        </w:rPr>
      </w:pPr>
      <w:r>
        <w:rPr>
          <w:sz w:val="24"/>
          <w:szCs w:val="32"/>
        </w:rPr>
        <w:t>It is best practice to u</w:t>
      </w:r>
      <w:r w:rsidR="008943BD" w:rsidRPr="008943BD">
        <w:rPr>
          <w:sz w:val="24"/>
          <w:szCs w:val="32"/>
        </w:rPr>
        <w:t>se two pairs of</w:t>
      </w:r>
      <w:r>
        <w:rPr>
          <w:sz w:val="24"/>
          <w:szCs w:val="32"/>
        </w:rPr>
        <w:t xml:space="preserve"> </w:t>
      </w:r>
      <w:r w:rsidR="008943BD" w:rsidRPr="008943BD">
        <w:rPr>
          <w:sz w:val="24"/>
          <w:szCs w:val="32"/>
        </w:rPr>
        <w:t xml:space="preserve">disposable gloves, with the outer one covering the gown cuff whenever there is risk of exposure to </w:t>
      </w:r>
      <w:r w:rsidR="00393339">
        <w:rPr>
          <w:sz w:val="24"/>
          <w:szCs w:val="32"/>
        </w:rPr>
        <w:t>toxics</w:t>
      </w:r>
      <w:r w:rsidR="008943BD" w:rsidRPr="008943BD">
        <w:rPr>
          <w:sz w:val="24"/>
          <w:szCs w:val="32"/>
        </w:rPr>
        <w:t xml:space="preserve">. </w:t>
      </w:r>
      <w:r>
        <w:rPr>
          <w:sz w:val="24"/>
          <w:szCs w:val="32"/>
        </w:rPr>
        <w:t>Two pairs of gloves must be worn when working with highly toxic materials or chemotherapeutics.</w:t>
      </w:r>
    </w:p>
    <w:p w14:paraId="690CA8A5" w14:textId="6676C462" w:rsidR="008943BD" w:rsidRPr="00EC2F87" w:rsidRDefault="00EC2F87" w:rsidP="00EC2F87">
      <w:pPr>
        <w:pStyle w:val="ListParagraph"/>
        <w:numPr>
          <w:ilvl w:val="0"/>
          <w:numId w:val="5"/>
        </w:numPr>
        <w:rPr>
          <w:sz w:val="24"/>
          <w:szCs w:val="32"/>
        </w:rPr>
      </w:pPr>
      <w:r>
        <w:rPr>
          <w:sz w:val="24"/>
          <w:szCs w:val="32"/>
        </w:rPr>
        <w:t>Toxics with a higher potential for inhalation (such as crystals, powders, free nanoparticles, etc.)</w:t>
      </w:r>
      <w:r w:rsidR="008943BD" w:rsidRPr="00EC2F87">
        <w:rPr>
          <w:sz w:val="24"/>
          <w:szCs w:val="32"/>
        </w:rPr>
        <w:t xml:space="preserve"> must be handled and weighed out in a chemical fume hood or similar exhausted enclosure.  </w:t>
      </w:r>
      <w:r w:rsidR="00F104C6" w:rsidRPr="00465350">
        <w:rPr>
          <w:color w:val="000000" w:themeColor="text1"/>
          <w:sz w:val="24"/>
          <w:szCs w:val="32"/>
        </w:rPr>
        <w:t xml:space="preserve">If you do not have a fume hood, </w:t>
      </w:r>
      <w:r w:rsidR="00B73687" w:rsidRPr="00465350">
        <w:rPr>
          <w:color w:val="000000" w:themeColor="text1"/>
          <w:sz w:val="24"/>
          <w:szCs w:val="32"/>
        </w:rPr>
        <w:t>consult your supervisor or</w:t>
      </w:r>
      <w:r w:rsidR="00F104C6" w:rsidRPr="00465350">
        <w:rPr>
          <w:color w:val="000000" w:themeColor="text1"/>
          <w:sz w:val="24"/>
          <w:szCs w:val="32"/>
        </w:rPr>
        <w:t xml:space="preserve"> DEHS before beginning </w:t>
      </w:r>
      <w:r w:rsidR="00B73687" w:rsidRPr="00465350">
        <w:rPr>
          <w:color w:val="000000" w:themeColor="text1"/>
          <w:sz w:val="24"/>
          <w:szCs w:val="32"/>
        </w:rPr>
        <w:t>work – you may need to wear a</w:t>
      </w:r>
      <w:r w:rsidR="00F104C6" w:rsidRPr="00465350">
        <w:rPr>
          <w:color w:val="000000" w:themeColor="text1"/>
          <w:sz w:val="24"/>
          <w:szCs w:val="32"/>
        </w:rPr>
        <w:t xml:space="preserve"> respirator and participate in the University of Minnesota’s Respiratory Protection Program.</w:t>
      </w:r>
    </w:p>
    <w:p w14:paraId="56D70955" w14:textId="2F007C47" w:rsidR="005B6E29" w:rsidRPr="00465350" w:rsidRDefault="00AC48F4" w:rsidP="00EB6BC7">
      <w:pPr>
        <w:pStyle w:val="ListParagraph"/>
        <w:numPr>
          <w:ilvl w:val="0"/>
          <w:numId w:val="5"/>
        </w:numPr>
        <w:rPr>
          <w:sz w:val="24"/>
          <w:szCs w:val="32"/>
        </w:rPr>
      </w:pPr>
      <w:r w:rsidRPr="00465350">
        <w:rPr>
          <w:sz w:val="24"/>
          <w:szCs w:val="32"/>
        </w:rPr>
        <w:t xml:space="preserve">To reduce the chance of accidental injection, syringes and IV sets with </w:t>
      </w:r>
      <w:proofErr w:type="spellStart"/>
      <w:r w:rsidRPr="00465350">
        <w:rPr>
          <w:sz w:val="24"/>
          <w:szCs w:val="32"/>
        </w:rPr>
        <w:t>Luer-Lok</w:t>
      </w:r>
      <w:r w:rsidRPr="00465350">
        <w:rPr>
          <w:sz w:val="24"/>
          <w:szCs w:val="32"/>
          <w:vertAlign w:val="superscript"/>
        </w:rPr>
        <w:t>TM</w:t>
      </w:r>
      <w:proofErr w:type="spellEnd"/>
      <w:r w:rsidRPr="00465350">
        <w:rPr>
          <w:sz w:val="24"/>
          <w:szCs w:val="32"/>
        </w:rPr>
        <w:t xml:space="preserve"> fittings </w:t>
      </w:r>
      <w:r w:rsidR="00F104C6" w:rsidRPr="00465350">
        <w:rPr>
          <w:sz w:val="24"/>
          <w:szCs w:val="32"/>
        </w:rPr>
        <w:t>must</w:t>
      </w:r>
      <w:r w:rsidRPr="00465350">
        <w:rPr>
          <w:sz w:val="24"/>
          <w:szCs w:val="32"/>
        </w:rPr>
        <w:t xml:space="preserve"> be used for preparing and administering </w:t>
      </w:r>
      <w:r w:rsidR="00EC2F87" w:rsidRPr="00465350">
        <w:rPr>
          <w:sz w:val="24"/>
          <w:szCs w:val="32"/>
        </w:rPr>
        <w:t>toxics</w:t>
      </w:r>
      <w:r w:rsidRPr="00465350">
        <w:rPr>
          <w:sz w:val="24"/>
          <w:szCs w:val="32"/>
        </w:rPr>
        <w:t>.</w:t>
      </w:r>
    </w:p>
    <w:p w14:paraId="221877E4" w14:textId="77777777" w:rsidR="00465350" w:rsidRDefault="00465350" w:rsidP="00465350">
      <w:pPr>
        <w:rPr>
          <w:b/>
          <w:sz w:val="24"/>
          <w:szCs w:val="32"/>
        </w:rPr>
      </w:pPr>
      <w:r w:rsidRPr="0049623D">
        <w:rPr>
          <w:b/>
          <w:sz w:val="24"/>
          <w:szCs w:val="32"/>
        </w:rPr>
        <w:t xml:space="preserve">Minimum PPE </w:t>
      </w:r>
      <w:r>
        <w:rPr>
          <w:b/>
          <w:sz w:val="24"/>
          <w:szCs w:val="32"/>
        </w:rPr>
        <w:t>Requirements</w:t>
      </w:r>
    </w:p>
    <w:p w14:paraId="1FBC3B2C" w14:textId="77777777" w:rsidR="00465350" w:rsidRPr="0049623D" w:rsidRDefault="00465350" w:rsidP="00465350">
      <w:pPr>
        <w:rPr>
          <w:sz w:val="24"/>
          <w:szCs w:val="32"/>
        </w:rPr>
      </w:pPr>
      <w:r>
        <w:rPr>
          <w:sz w:val="24"/>
          <w:szCs w:val="32"/>
        </w:rPr>
        <w:t xml:space="preserve">PPE requirements </w:t>
      </w:r>
      <w:r w:rsidRPr="0049623D">
        <w:rPr>
          <w:sz w:val="24"/>
          <w:szCs w:val="32"/>
        </w:rPr>
        <w:t>include:</w:t>
      </w:r>
    </w:p>
    <w:p w14:paraId="1336DC8E" w14:textId="77777777" w:rsidR="00465350" w:rsidRDefault="00465350" w:rsidP="00465350">
      <w:pPr>
        <w:pStyle w:val="ListParagraph"/>
        <w:numPr>
          <w:ilvl w:val="0"/>
          <w:numId w:val="1"/>
        </w:numPr>
        <w:rPr>
          <w:sz w:val="24"/>
          <w:szCs w:val="32"/>
          <w:highlight w:val="yellow"/>
        </w:rPr>
      </w:pPr>
      <w:r>
        <w:rPr>
          <w:sz w:val="24"/>
          <w:szCs w:val="32"/>
          <w:highlight w:val="yellow"/>
        </w:rPr>
        <w:t>Lab coat</w:t>
      </w:r>
      <w:r w:rsidRPr="0049623D">
        <w:rPr>
          <w:sz w:val="24"/>
          <w:szCs w:val="32"/>
          <w:highlight w:val="yellow"/>
        </w:rPr>
        <w:t xml:space="preserve"> (if applicable</w:t>
      </w:r>
      <w:r>
        <w:rPr>
          <w:sz w:val="24"/>
          <w:szCs w:val="32"/>
          <w:highlight w:val="yellow"/>
        </w:rPr>
        <w:t xml:space="preserve"> to your lab</w:t>
      </w:r>
      <w:r w:rsidRPr="0049623D">
        <w:rPr>
          <w:sz w:val="24"/>
          <w:szCs w:val="32"/>
          <w:highlight w:val="yellow"/>
        </w:rPr>
        <w:t>)</w:t>
      </w:r>
    </w:p>
    <w:p w14:paraId="3AB7F7B2" w14:textId="77777777" w:rsidR="00465350" w:rsidRDefault="00465350" w:rsidP="00465350">
      <w:pPr>
        <w:pStyle w:val="ListParagraph"/>
        <w:numPr>
          <w:ilvl w:val="0"/>
          <w:numId w:val="1"/>
        </w:numPr>
        <w:rPr>
          <w:sz w:val="24"/>
          <w:szCs w:val="32"/>
          <w:highlight w:val="yellow"/>
        </w:rPr>
      </w:pPr>
      <w:r>
        <w:rPr>
          <w:sz w:val="24"/>
          <w:szCs w:val="32"/>
          <w:highlight w:val="yellow"/>
        </w:rPr>
        <w:t>Safety glasses/goggles (if applicable to your lab)</w:t>
      </w:r>
    </w:p>
    <w:p w14:paraId="3EA645C6" w14:textId="77777777" w:rsidR="00465350" w:rsidRPr="0049623D" w:rsidRDefault="00465350" w:rsidP="00465350">
      <w:pPr>
        <w:pStyle w:val="ListParagraph"/>
        <w:numPr>
          <w:ilvl w:val="0"/>
          <w:numId w:val="1"/>
        </w:numPr>
        <w:rPr>
          <w:sz w:val="24"/>
          <w:szCs w:val="32"/>
          <w:highlight w:val="yellow"/>
        </w:rPr>
      </w:pPr>
      <w:r>
        <w:rPr>
          <w:sz w:val="24"/>
          <w:szCs w:val="32"/>
          <w:highlight w:val="yellow"/>
        </w:rPr>
        <w:t>Nitrile gloves (if applicable to your lab)</w:t>
      </w:r>
    </w:p>
    <w:p w14:paraId="0BCF9C2B" w14:textId="77777777" w:rsidR="00465350" w:rsidRPr="0049623D" w:rsidRDefault="00465350" w:rsidP="00465350">
      <w:pPr>
        <w:pStyle w:val="ListParagraph"/>
        <w:numPr>
          <w:ilvl w:val="0"/>
          <w:numId w:val="1"/>
        </w:numPr>
        <w:rPr>
          <w:sz w:val="24"/>
          <w:szCs w:val="32"/>
          <w:highlight w:val="yellow"/>
        </w:rPr>
      </w:pPr>
      <w:r>
        <w:rPr>
          <w:sz w:val="24"/>
          <w:szCs w:val="32"/>
          <w:highlight w:val="yellow"/>
        </w:rPr>
        <w:t>Additional PPE</w:t>
      </w:r>
      <w:r w:rsidRPr="0049623D">
        <w:rPr>
          <w:sz w:val="24"/>
          <w:szCs w:val="32"/>
          <w:highlight w:val="yellow"/>
        </w:rPr>
        <w:t xml:space="preserve"> (if applicable</w:t>
      </w:r>
      <w:r>
        <w:rPr>
          <w:sz w:val="24"/>
          <w:szCs w:val="32"/>
          <w:highlight w:val="yellow"/>
        </w:rPr>
        <w:t>)</w:t>
      </w:r>
    </w:p>
    <w:p w14:paraId="36A6CBED" w14:textId="77777777" w:rsidR="00465350" w:rsidRDefault="00465350" w:rsidP="00465350">
      <w:pPr>
        <w:rPr>
          <w:sz w:val="24"/>
          <w:szCs w:val="32"/>
        </w:rPr>
      </w:pPr>
      <w:r w:rsidRPr="0049623D">
        <w:rPr>
          <w:sz w:val="24"/>
          <w:szCs w:val="32"/>
        </w:rPr>
        <w:t xml:space="preserve">If </w:t>
      </w:r>
      <w:r>
        <w:rPr>
          <w:sz w:val="24"/>
          <w:szCs w:val="32"/>
        </w:rPr>
        <w:t>procedure or material-specific PPE is required beyond the minimum listed above, another SOP should be available for that procedure or material. (Example: cartridge respirator, neoprene gloves, etc.)</w:t>
      </w:r>
    </w:p>
    <w:p w14:paraId="2AA791D7" w14:textId="52E2BFD3" w:rsidR="002E0279" w:rsidRDefault="002E0279" w:rsidP="002E0279">
      <w:pPr>
        <w:rPr>
          <w:b/>
          <w:i/>
          <w:sz w:val="28"/>
          <w:szCs w:val="32"/>
        </w:rPr>
      </w:pPr>
      <w:r w:rsidRPr="0049623D">
        <w:rPr>
          <w:b/>
          <w:i/>
          <w:sz w:val="28"/>
          <w:szCs w:val="32"/>
        </w:rPr>
        <w:t>Spill &amp; Accident Planning</w:t>
      </w:r>
      <w:r w:rsidR="00F043C1" w:rsidRPr="0049623D">
        <w:rPr>
          <w:b/>
          <w:i/>
          <w:sz w:val="28"/>
          <w:szCs w:val="32"/>
        </w:rPr>
        <w:t>/What-If</w:t>
      </w:r>
    </w:p>
    <w:p w14:paraId="0D970854" w14:textId="573EEF26" w:rsidR="00D2790C" w:rsidRPr="00465350" w:rsidRDefault="004B353F" w:rsidP="001D0C0A">
      <w:pPr>
        <w:rPr>
          <w:color w:val="000000" w:themeColor="text1"/>
          <w:sz w:val="24"/>
          <w:szCs w:val="24"/>
        </w:rPr>
      </w:pPr>
      <w:r w:rsidRPr="00465350">
        <w:rPr>
          <w:color w:val="000000" w:themeColor="text1"/>
          <w:sz w:val="24"/>
          <w:szCs w:val="24"/>
        </w:rPr>
        <w:t>During lab-specific training, researchers should be informed where fire extinguishers, safety showers, alarm pull stations, and egress routes are. All labs are set up so that this emergency equipment is readily available and near exits.</w:t>
      </w:r>
    </w:p>
    <w:tbl>
      <w:tblPr>
        <w:tblStyle w:val="TableGrid"/>
        <w:tblW w:w="9355" w:type="dxa"/>
        <w:tblLook w:val="04A0" w:firstRow="1" w:lastRow="0" w:firstColumn="1" w:lastColumn="0" w:noHBand="0" w:noVBand="1"/>
      </w:tblPr>
      <w:tblGrid>
        <w:gridCol w:w="1255"/>
        <w:gridCol w:w="8100"/>
      </w:tblGrid>
      <w:tr w:rsidR="00E92DB8" w:rsidRPr="0049623D" w14:paraId="74742FA6" w14:textId="77777777" w:rsidTr="0049623D">
        <w:tc>
          <w:tcPr>
            <w:tcW w:w="9355" w:type="dxa"/>
            <w:gridSpan w:val="2"/>
            <w:shd w:val="clear" w:color="auto" w:fill="D9D9D9" w:themeFill="background1" w:themeFillShade="D9"/>
          </w:tcPr>
          <w:p w14:paraId="3D1D5F03" w14:textId="06E2E47E" w:rsidR="00E92DB8" w:rsidRPr="004F40D6" w:rsidRDefault="00E92DB8" w:rsidP="00000679">
            <w:pPr>
              <w:jc w:val="center"/>
              <w:rPr>
                <w:rFonts w:asciiTheme="minorHAnsi" w:hAnsiTheme="minorHAnsi"/>
                <w:b/>
                <w:bCs/>
                <w:sz w:val="24"/>
              </w:rPr>
            </w:pPr>
            <w:r w:rsidRPr="004F40D6">
              <w:rPr>
                <w:rFonts w:asciiTheme="minorHAnsi" w:hAnsiTheme="minorHAnsi"/>
                <w:b/>
                <w:bCs/>
                <w:sz w:val="24"/>
              </w:rPr>
              <w:t>Lab-Specific Emergency Response Procedures</w:t>
            </w:r>
          </w:p>
        </w:tc>
      </w:tr>
      <w:tr w:rsidR="00E92DB8" w:rsidRPr="0049623D" w14:paraId="0DE2BA25" w14:textId="77777777" w:rsidTr="00E92DB8">
        <w:tc>
          <w:tcPr>
            <w:tcW w:w="1255" w:type="dxa"/>
          </w:tcPr>
          <w:p w14:paraId="68FA0612" w14:textId="16168426" w:rsidR="00E92DB8" w:rsidRPr="004F40D6" w:rsidRDefault="00E92DB8" w:rsidP="00000679">
            <w:pPr>
              <w:rPr>
                <w:rFonts w:asciiTheme="minorHAnsi" w:hAnsiTheme="minorHAnsi"/>
                <w:b/>
                <w:sz w:val="24"/>
              </w:rPr>
            </w:pPr>
            <w:r w:rsidRPr="004F40D6">
              <w:rPr>
                <w:rFonts w:asciiTheme="minorHAnsi" w:hAnsiTheme="minorHAnsi"/>
                <w:b/>
                <w:sz w:val="24"/>
              </w:rPr>
              <w:t>Spill</w:t>
            </w:r>
          </w:p>
        </w:tc>
        <w:tc>
          <w:tcPr>
            <w:tcW w:w="8100" w:type="dxa"/>
          </w:tcPr>
          <w:p w14:paraId="5AC7D19B" w14:textId="35403130" w:rsidR="00E92DB8" w:rsidRPr="004F40D6" w:rsidRDefault="0049623D" w:rsidP="0049623D">
            <w:pPr>
              <w:rPr>
                <w:rFonts w:asciiTheme="minorHAnsi" w:hAnsiTheme="minorHAnsi"/>
                <w:bCs/>
                <w:i/>
                <w:sz w:val="24"/>
                <w:highlight w:val="yellow"/>
              </w:rPr>
            </w:pPr>
            <w:r w:rsidRPr="004F40D6">
              <w:rPr>
                <w:rFonts w:asciiTheme="minorHAnsi" w:hAnsiTheme="minorHAnsi"/>
                <w:bCs/>
                <w:i/>
                <w:sz w:val="24"/>
                <w:highlight w:val="yellow"/>
              </w:rPr>
              <w:t>List the maximum amount of spill that your lab is comfortable with and prepared for cleaning up yourselves. Describe your lab-specific response procedures.</w:t>
            </w:r>
          </w:p>
        </w:tc>
      </w:tr>
    </w:tbl>
    <w:p w14:paraId="0CE33AD9" w14:textId="77777777" w:rsidR="00E92DB8" w:rsidRPr="0049623D" w:rsidRDefault="00E92DB8" w:rsidP="002E0279">
      <w:pPr>
        <w:rPr>
          <w:sz w:val="28"/>
          <w:szCs w:val="32"/>
        </w:rPr>
      </w:pPr>
    </w:p>
    <w:tbl>
      <w:tblPr>
        <w:tblStyle w:val="TableGrid"/>
        <w:tblW w:w="0" w:type="auto"/>
        <w:tblLook w:val="04A0" w:firstRow="1" w:lastRow="0" w:firstColumn="1" w:lastColumn="0" w:noHBand="0" w:noVBand="1"/>
      </w:tblPr>
      <w:tblGrid>
        <w:gridCol w:w="2245"/>
        <w:gridCol w:w="3630"/>
        <w:gridCol w:w="3475"/>
      </w:tblGrid>
      <w:tr w:rsidR="0049623D" w:rsidRPr="0049623D" w14:paraId="068B48DF" w14:textId="77777777" w:rsidTr="006479D1">
        <w:trPr>
          <w:trHeight w:val="260"/>
        </w:trPr>
        <w:tc>
          <w:tcPr>
            <w:tcW w:w="2245" w:type="dxa"/>
            <w:shd w:val="clear" w:color="auto" w:fill="D9D9D9" w:themeFill="background1" w:themeFillShade="D9"/>
            <w:vAlign w:val="center"/>
          </w:tcPr>
          <w:p w14:paraId="156DF8B2" w14:textId="6DBCDED0" w:rsidR="0049623D" w:rsidRPr="0049623D" w:rsidRDefault="004F40D6" w:rsidP="006479D1">
            <w:pPr>
              <w:jc w:val="center"/>
              <w:rPr>
                <w:rFonts w:asciiTheme="minorHAnsi" w:hAnsiTheme="minorHAnsi"/>
                <w:b/>
                <w:sz w:val="24"/>
              </w:rPr>
            </w:pPr>
            <w:r>
              <w:rPr>
                <w:rFonts w:asciiTheme="minorHAnsi" w:hAnsiTheme="minorHAnsi"/>
                <w:b/>
                <w:sz w:val="24"/>
              </w:rPr>
              <w:t>Physical/Health Hazards</w:t>
            </w:r>
          </w:p>
        </w:tc>
        <w:tc>
          <w:tcPr>
            <w:tcW w:w="3630" w:type="dxa"/>
            <w:shd w:val="clear" w:color="auto" w:fill="D9D9D9" w:themeFill="background1" w:themeFillShade="D9"/>
          </w:tcPr>
          <w:p w14:paraId="36EA88C6" w14:textId="518C5157" w:rsidR="0049623D" w:rsidRPr="0049623D" w:rsidRDefault="0049623D" w:rsidP="0049623D">
            <w:pPr>
              <w:jc w:val="center"/>
              <w:rPr>
                <w:rFonts w:asciiTheme="minorHAnsi" w:hAnsiTheme="minorHAnsi"/>
                <w:b/>
                <w:bCs/>
                <w:sz w:val="24"/>
              </w:rPr>
            </w:pPr>
            <w:r w:rsidRPr="0049623D">
              <w:rPr>
                <w:rFonts w:asciiTheme="minorHAnsi" w:hAnsiTheme="minorHAnsi"/>
                <w:b/>
                <w:bCs/>
                <w:sz w:val="24"/>
              </w:rPr>
              <w:t>Signs/Symptoms of Exposure</w:t>
            </w:r>
            <w:r w:rsidR="00465350">
              <w:rPr>
                <w:rFonts w:asciiTheme="minorHAnsi" w:hAnsiTheme="minorHAnsi"/>
                <w:b/>
                <w:bCs/>
                <w:sz w:val="24"/>
              </w:rPr>
              <w:t>*</w:t>
            </w:r>
          </w:p>
        </w:tc>
        <w:tc>
          <w:tcPr>
            <w:tcW w:w="3475" w:type="dxa"/>
            <w:shd w:val="clear" w:color="auto" w:fill="D9D9D9" w:themeFill="background1" w:themeFillShade="D9"/>
          </w:tcPr>
          <w:p w14:paraId="5E8DF20A" w14:textId="0211A402" w:rsidR="0049623D" w:rsidRPr="0049623D" w:rsidRDefault="0049623D" w:rsidP="0049623D">
            <w:pPr>
              <w:jc w:val="center"/>
              <w:rPr>
                <w:rFonts w:asciiTheme="minorHAnsi" w:hAnsiTheme="minorHAnsi"/>
                <w:b/>
                <w:bCs/>
                <w:sz w:val="24"/>
              </w:rPr>
            </w:pPr>
            <w:r w:rsidRPr="0049623D">
              <w:rPr>
                <w:rFonts w:asciiTheme="minorHAnsi" w:hAnsiTheme="minorHAnsi"/>
                <w:b/>
                <w:bCs/>
                <w:sz w:val="24"/>
              </w:rPr>
              <w:t>First Aid/Response</w:t>
            </w:r>
          </w:p>
        </w:tc>
      </w:tr>
      <w:tr w:rsidR="00611334" w:rsidRPr="0049623D" w14:paraId="40AF2536" w14:textId="3335358F" w:rsidTr="006479D1">
        <w:trPr>
          <w:trHeight w:val="260"/>
        </w:trPr>
        <w:tc>
          <w:tcPr>
            <w:tcW w:w="2245" w:type="dxa"/>
            <w:vAlign w:val="center"/>
          </w:tcPr>
          <w:p w14:paraId="6DA81F9E"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Inhalation</w:t>
            </w:r>
          </w:p>
        </w:tc>
        <w:tc>
          <w:tcPr>
            <w:tcW w:w="3630" w:type="dxa"/>
            <w:vAlign w:val="center"/>
          </w:tcPr>
          <w:p w14:paraId="65D1E79B" w14:textId="216F4CBD" w:rsidR="00611334" w:rsidRPr="004B353F" w:rsidRDefault="004B353F" w:rsidP="006479D1">
            <w:pPr>
              <w:jc w:val="center"/>
              <w:rPr>
                <w:rFonts w:asciiTheme="minorHAnsi" w:hAnsiTheme="minorHAnsi"/>
                <w:bCs/>
                <w:sz w:val="24"/>
              </w:rPr>
            </w:pPr>
            <w:r w:rsidRPr="00465350">
              <w:rPr>
                <w:rFonts w:asciiTheme="minorHAnsi" w:hAnsiTheme="minorHAnsi"/>
                <w:bCs/>
                <w:sz w:val="24"/>
                <w:highlight w:val="yellow"/>
              </w:rPr>
              <w:t>Dizziness, nausea, light-headedness, headache, confusion</w:t>
            </w:r>
          </w:p>
        </w:tc>
        <w:tc>
          <w:tcPr>
            <w:tcW w:w="3475" w:type="dxa"/>
            <w:vAlign w:val="center"/>
          </w:tcPr>
          <w:p w14:paraId="1B548D10" w14:textId="56BB6B8A" w:rsidR="00611334" w:rsidRPr="004B353F" w:rsidRDefault="004B353F" w:rsidP="006479D1">
            <w:pPr>
              <w:jc w:val="center"/>
              <w:rPr>
                <w:rFonts w:asciiTheme="minorHAnsi" w:hAnsiTheme="minorHAnsi"/>
                <w:bCs/>
                <w:sz w:val="24"/>
              </w:rPr>
            </w:pPr>
            <w:r w:rsidRPr="004B353F">
              <w:rPr>
                <w:rFonts w:asciiTheme="minorHAnsi" w:hAnsiTheme="minorHAnsi"/>
                <w:bCs/>
                <w:sz w:val="24"/>
              </w:rPr>
              <w:t>Move person to fresh air. Seek medical attention if symptoms do not improve.</w:t>
            </w:r>
          </w:p>
        </w:tc>
      </w:tr>
      <w:tr w:rsidR="00611334" w:rsidRPr="0049623D" w14:paraId="70AF0E58" w14:textId="15B457B0" w:rsidTr="006479D1">
        <w:tc>
          <w:tcPr>
            <w:tcW w:w="2245" w:type="dxa"/>
            <w:vAlign w:val="center"/>
          </w:tcPr>
          <w:p w14:paraId="1A3364C8"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Eye Absorption/Contact</w:t>
            </w:r>
          </w:p>
        </w:tc>
        <w:tc>
          <w:tcPr>
            <w:tcW w:w="3630" w:type="dxa"/>
            <w:vAlign w:val="center"/>
          </w:tcPr>
          <w:p w14:paraId="40AE102B" w14:textId="65D4675C" w:rsidR="00611334" w:rsidRPr="00465350" w:rsidRDefault="004B353F" w:rsidP="006479D1">
            <w:pPr>
              <w:jc w:val="center"/>
              <w:rPr>
                <w:rFonts w:asciiTheme="minorHAnsi" w:hAnsiTheme="minorHAnsi"/>
                <w:bCs/>
                <w:sz w:val="24"/>
                <w:highlight w:val="yellow"/>
              </w:rPr>
            </w:pPr>
            <w:r w:rsidRPr="00465350">
              <w:rPr>
                <w:rFonts w:asciiTheme="minorHAnsi" w:hAnsiTheme="minorHAnsi"/>
                <w:bCs/>
                <w:sz w:val="24"/>
                <w:highlight w:val="yellow"/>
              </w:rPr>
              <w:t>Splashes into eyes, burning, stinging</w:t>
            </w:r>
          </w:p>
        </w:tc>
        <w:tc>
          <w:tcPr>
            <w:tcW w:w="3475" w:type="dxa"/>
            <w:vAlign w:val="center"/>
          </w:tcPr>
          <w:p w14:paraId="4294A93E" w14:textId="34F92A72" w:rsidR="00611334" w:rsidRPr="004B353F" w:rsidRDefault="004B353F" w:rsidP="006479D1">
            <w:pPr>
              <w:jc w:val="center"/>
              <w:rPr>
                <w:rFonts w:asciiTheme="minorHAnsi" w:hAnsiTheme="minorHAnsi"/>
                <w:bCs/>
                <w:sz w:val="24"/>
              </w:rPr>
            </w:pPr>
            <w:r w:rsidRPr="004B353F">
              <w:rPr>
                <w:rFonts w:asciiTheme="minorHAnsi" w:hAnsiTheme="minorHAnsi"/>
                <w:bCs/>
                <w:sz w:val="24"/>
              </w:rPr>
              <w:t>Use emergency eyewash and rinse eyes for a minimum of 15 minutes.</w:t>
            </w:r>
          </w:p>
        </w:tc>
      </w:tr>
      <w:tr w:rsidR="00611334" w:rsidRPr="0049623D" w14:paraId="4027014B" w14:textId="5C2D931A" w:rsidTr="006479D1">
        <w:tc>
          <w:tcPr>
            <w:tcW w:w="2245" w:type="dxa"/>
            <w:vAlign w:val="center"/>
          </w:tcPr>
          <w:p w14:paraId="06C6462D"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Skin Contact</w:t>
            </w:r>
          </w:p>
        </w:tc>
        <w:tc>
          <w:tcPr>
            <w:tcW w:w="3630" w:type="dxa"/>
            <w:vAlign w:val="center"/>
          </w:tcPr>
          <w:p w14:paraId="7F7ED7BA" w14:textId="66DA3675" w:rsidR="00611334" w:rsidRPr="00465350" w:rsidRDefault="005B4EA7" w:rsidP="005B4EA7">
            <w:pPr>
              <w:jc w:val="center"/>
              <w:rPr>
                <w:rFonts w:asciiTheme="minorHAnsi" w:hAnsiTheme="minorHAnsi"/>
                <w:bCs/>
                <w:sz w:val="24"/>
                <w:highlight w:val="yellow"/>
              </w:rPr>
            </w:pPr>
            <w:r w:rsidRPr="00465350">
              <w:rPr>
                <w:rFonts w:asciiTheme="minorHAnsi" w:hAnsiTheme="minorHAnsi"/>
                <w:bCs/>
                <w:sz w:val="24"/>
                <w:highlight w:val="yellow"/>
              </w:rPr>
              <w:t>Numbness, irritation</w:t>
            </w:r>
          </w:p>
        </w:tc>
        <w:tc>
          <w:tcPr>
            <w:tcW w:w="3475" w:type="dxa"/>
            <w:vAlign w:val="center"/>
          </w:tcPr>
          <w:p w14:paraId="5B7135A5" w14:textId="2F226CF9" w:rsidR="00611334" w:rsidRPr="004B353F" w:rsidRDefault="004B353F" w:rsidP="006479D1">
            <w:pPr>
              <w:jc w:val="center"/>
              <w:rPr>
                <w:rFonts w:asciiTheme="minorHAnsi" w:hAnsiTheme="minorHAnsi"/>
                <w:bCs/>
                <w:sz w:val="24"/>
              </w:rPr>
            </w:pPr>
            <w:r w:rsidRPr="004B353F">
              <w:rPr>
                <w:rFonts w:asciiTheme="minorHAnsi" w:hAnsiTheme="minorHAnsi"/>
                <w:bCs/>
                <w:sz w:val="24"/>
              </w:rPr>
              <w:t>Remove contaminated gloves or clothing, wash with soap and rinse. If major exposure, use safety shower.</w:t>
            </w:r>
          </w:p>
        </w:tc>
      </w:tr>
      <w:tr w:rsidR="00611334" w:rsidRPr="0049623D" w14:paraId="7F88E6E3" w14:textId="2123D5AF" w:rsidTr="006479D1">
        <w:tc>
          <w:tcPr>
            <w:tcW w:w="2245" w:type="dxa"/>
            <w:vAlign w:val="center"/>
          </w:tcPr>
          <w:p w14:paraId="33696480"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Ingestion</w:t>
            </w:r>
          </w:p>
        </w:tc>
        <w:tc>
          <w:tcPr>
            <w:tcW w:w="3630" w:type="dxa"/>
            <w:vAlign w:val="center"/>
          </w:tcPr>
          <w:p w14:paraId="6D415C90" w14:textId="36ED6328" w:rsidR="00611334" w:rsidRPr="00465350" w:rsidRDefault="006479D1" w:rsidP="006479D1">
            <w:pPr>
              <w:jc w:val="center"/>
              <w:rPr>
                <w:rFonts w:asciiTheme="minorHAnsi" w:hAnsiTheme="minorHAnsi"/>
                <w:bCs/>
                <w:sz w:val="24"/>
                <w:highlight w:val="yellow"/>
              </w:rPr>
            </w:pPr>
            <w:r w:rsidRPr="00465350">
              <w:rPr>
                <w:rFonts w:asciiTheme="minorHAnsi" w:hAnsiTheme="minorHAnsi"/>
                <w:bCs/>
                <w:sz w:val="24"/>
                <w:highlight w:val="yellow"/>
              </w:rPr>
              <w:t>Ingestion is unlikely in the standard lab setting.</w:t>
            </w:r>
          </w:p>
        </w:tc>
        <w:tc>
          <w:tcPr>
            <w:tcW w:w="3475" w:type="dxa"/>
            <w:vAlign w:val="center"/>
          </w:tcPr>
          <w:p w14:paraId="76C94CC6" w14:textId="4C01B5D2"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r w:rsidR="00611334" w:rsidRPr="0049623D" w14:paraId="7F638297" w14:textId="23933C98" w:rsidTr="006479D1">
        <w:tc>
          <w:tcPr>
            <w:tcW w:w="2245" w:type="dxa"/>
            <w:vAlign w:val="center"/>
          </w:tcPr>
          <w:p w14:paraId="420E85EE"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Injection</w:t>
            </w:r>
          </w:p>
        </w:tc>
        <w:tc>
          <w:tcPr>
            <w:tcW w:w="3630" w:type="dxa"/>
            <w:vAlign w:val="center"/>
          </w:tcPr>
          <w:p w14:paraId="4234D1DA" w14:textId="0559F5F9" w:rsidR="00611334" w:rsidRPr="00465350" w:rsidRDefault="00BD6DE0" w:rsidP="006479D1">
            <w:pPr>
              <w:jc w:val="center"/>
              <w:rPr>
                <w:rFonts w:asciiTheme="minorHAnsi" w:hAnsiTheme="minorHAnsi"/>
                <w:bCs/>
                <w:sz w:val="24"/>
                <w:highlight w:val="yellow"/>
              </w:rPr>
            </w:pPr>
            <w:r w:rsidRPr="00465350">
              <w:rPr>
                <w:rFonts w:asciiTheme="minorHAnsi" w:hAnsiTheme="minorHAnsi"/>
                <w:bCs/>
                <w:sz w:val="24"/>
                <w:highlight w:val="yellow"/>
              </w:rPr>
              <w:t>Sharp pain, broken glove, bleeding, swelling</w:t>
            </w:r>
          </w:p>
        </w:tc>
        <w:tc>
          <w:tcPr>
            <w:tcW w:w="3475" w:type="dxa"/>
            <w:vAlign w:val="center"/>
          </w:tcPr>
          <w:p w14:paraId="62886603" w14:textId="78A90D48"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r w:rsidR="00465350" w:rsidRPr="0049623D" w14:paraId="19B93D5B" w14:textId="77777777" w:rsidTr="00275E3E">
        <w:tc>
          <w:tcPr>
            <w:tcW w:w="9350" w:type="dxa"/>
            <w:gridSpan w:val="3"/>
            <w:vAlign w:val="center"/>
          </w:tcPr>
          <w:p w14:paraId="06C6F532" w14:textId="71265AA7" w:rsidR="00465350" w:rsidRPr="00465350" w:rsidRDefault="00465350" w:rsidP="006479D1">
            <w:pPr>
              <w:jc w:val="center"/>
              <w:rPr>
                <w:rFonts w:asciiTheme="minorHAnsi" w:hAnsiTheme="minorHAnsi"/>
                <w:bCs/>
                <w:sz w:val="24"/>
              </w:rPr>
            </w:pPr>
            <w:r w:rsidRPr="00465350">
              <w:rPr>
                <w:rFonts w:asciiTheme="minorHAnsi" w:hAnsiTheme="minorHAnsi"/>
                <w:bCs/>
              </w:rPr>
              <w:t>*Signs and symptoms may vary depending on the toxic agent involved. Be sure to customize this information with any specific signs/symptoms that may occur based off the toxic materials your lab uses.</w:t>
            </w:r>
          </w:p>
        </w:tc>
      </w:tr>
    </w:tbl>
    <w:p w14:paraId="070DED51" w14:textId="27E179B6" w:rsidR="00744819" w:rsidRPr="00465350" w:rsidRDefault="00F104C6" w:rsidP="00465350">
      <w:pPr>
        <w:jc w:val="center"/>
        <w:rPr>
          <w:b/>
          <w:i/>
          <w:color w:val="000000" w:themeColor="text1"/>
          <w:sz w:val="24"/>
          <w:szCs w:val="32"/>
        </w:rPr>
      </w:pPr>
      <w:r w:rsidRPr="00465350">
        <w:rPr>
          <w:color w:val="000000" w:themeColor="text1"/>
          <w:sz w:val="24"/>
          <w:szCs w:val="32"/>
        </w:rPr>
        <w:t>All fires, injuries, or damage to the facility must be reported to and investigated by DEHS. Injuries which require medical treatment require a First Report of Injury (FROI) to be filed.</w:t>
      </w:r>
    </w:p>
    <w:p w14:paraId="50A15176" w14:textId="5D010B8D" w:rsidR="00744819" w:rsidRPr="00744819" w:rsidRDefault="002E0279" w:rsidP="00744819">
      <w:pPr>
        <w:rPr>
          <w:b/>
          <w:i/>
          <w:sz w:val="28"/>
          <w:szCs w:val="32"/>
        </w:rPr>
      </w:pPr>
      <w:r w:rsidRPr="0049623D">
        <w:rPr>
          <w:b/>
          <w:i/>
          <w:sz w:val="28"/>
          <w:szCs w:val="32"/>
        </w:rPr>
        <w:t>Waste Storage and Disposal</w:t>
      </w:r>
    </w:p>
    <w:p w14:paraId="2F496EBA" w14:textId="682BE898" w:rsidR="00744819" w:rsidRPr="00744819" w:rsidRDefault="00744819" w:rsidP="00744819">
      <w:pPr>
        <w:pStyle w:val="ListParagraph"/>
        <w:numPr>
          <w:ilvl w:val="0"/>
          <w:numId w:val="6"/>
        </w:numPr>
        <w:rPr>
          <w:sz w:val="24"/>
          <w:szCs w:val="32"/>
        </w:rPr>
      </w:pPr>
      <w:r w:rsidRPr="00744819">
        <w:rPr>
          <w:sz w:val="24"/>
          <w:szCs w:val="32"/>
        </w:rPr>
        <w:t>Disposable lab supplies (e.g., gowns</w:t>
      </w:r>
      <w:r w:rsidR="004770FE">
        <w:rPr>
          <w:sz w:val="24"/>
          <w:szCs w:val="32"/>
        </w:rPr>
        <w:t>, gloves, benchtop pads, etc.,) should be collected</w:t>
      </w:r>
      <w:r w:rsidRPr="00744819">
        <w:rPr>
          <w:sz w:val="24"/>
          <w:szCs w:val="32"/>
        </w:rPr>
        <w:t xml:space="preserve"> in </w:t>
      </w:r>
      <w:r w:rsidR="004770FE">
        <w:rPr>
          <w:sz w:val="24"/>
          <w:szCs w:val="32"/>
        </w:rPr>
        <w:t>a solid hazardous waste bin or a yellow bag</w:t>
      </w:r>
      <w:r w:rsidRPr="00744819">
        <w:rPr>
          <w:sz w:val="24"/>
          <w:szCs w:val="32"/>
        </w:rPr>
        <w:t xml:space="preserve"> for incineration</w:t>
      </w:r>
      <w:r w:rsidR="004770FE">
        <w:rPr>
          <w:sz w:val="24"/>
          <w:szCs w:val="32"/>
        </w:rPr>
        <w:t>.</w:t>
      </w:r>
    </w:p>
    <w:p w14:paraId="2F29909D" w14:textId="432E59A9" w:rsidR="00744819" w:rsidRPr="00744819" w:rsidRDefault="0041191C" w:rsidP="00744819">
      <w:pPr>
        <w:pStyle w:val="ListParagraph"/>
        <w:numPr>
          <w:ilvl w:val="0"/>
          <w:numId w:val="6"/>
        </w:numPr>
        <w:rPr>
          <w:sz w:val="24"/>
          <w:szCs w:val="32"/>
        </w:rPr>
      </w:pPr>
      <w:r>
        <w:rPr>
          <w:sz w:val="24"/>
          <w:szCs w:val="32"/>
        </w:rPr>
        <w:t>Needles and sharps m</w:t>
      </w:r>
      <w:r w:rsidR="00744819" w:rsidRPr="00744819">
        <w:rPr>
          <w:sz w:val="24"/>
          <w:szCs w:val="32"/>
        </w:rPr>
        <w:t xml:space="preserve">ust be disposed of in </w:t>
      </w:r>
      <w:r>
        <w:rPr>
          <w:sz w:val="24"/>
          <w:szCs w:val="32"/>
        </w:rPr>
        <w:t xml:space="preserve">a </w:t>
      </w:r>
      <w:r w:rsidR="00744819" w:rsidRPr="00744819">
        <w:rPr>
          <w:sz w:val="24"/>
          <w:szCs w:val="32"/>
        </w:rPr>
        <w:t>separate sharps container that is labeled “Toxic Sharps”, sealed and placed i</w:t>
      </w:r>
      <w:r>
        <w:rPr>
          <w:sz w:val="24"/>
          <w:szCs w:val="32"/>
        </w:rPr>
        <w:t>n a yellow bag for incineration or disposed of as hazardous waste.</w:t>
      </w:r>
    </w:p>
    <w:p w14:paraId="79804A23" w14:textId="77777777" w:rsidR="005B4EA7" w:rsidRDefault="0041191C" w:rsidP="005B4EA7">
      <w:pPr>
        <w:pStyle w:val="ListParagraph"/>
        <w:numPr>
          <w:ilvl w:val="0"/>
          <w:numId w:val="6"/>
        </w:numPr>
        <w:rPr>
          <w:rFonts w:ascii="Tw Cen MT Condensed Extra Bold" w:hAnsi="Tw Cen MT Condensed Extra Bold"/>
          <w:sz w:val="28"/>
          <w:szCs w:val="32"/>
        </w:rPr>
      </w:pPr>
      <w:r>
        <w:rPr>
          <w:sz w:val="24"/>
          <w:szCs w:val="32"/>
        </w:rPr>
        <w:t xml:space="preserve">Materials contaminated by toxic materials during a spill clean-up should be placed in a leak proof container </w:t>
      </w:r>
      <w:r w:rsidR="00744819" w:rsidRPr="00744819">
        <w:rPr>
          <w:sz w:val="24"/>
          <w:szCs w:val="32"/>
        </w:rPr>
        <w:t>for disposal as hazardous waste following procedures detailed in the Hazardous Waste Guidebook.</w:t>
      </w:r>
      <w:r w:rsidR="005B4EA7" w:rsidRPr="005B4EA7">
        <w:rPr>
          <w:rFonts w:ascii="Tw Cen MT Condensed Extra Bold" w:hAnsi="Tw Cen MT Condensed Extra Bold"/>
          <w:sz w:val="28"/>
          <w:szCs w:val="32"/>
        </w:rPr>
        <w:t xml:space="preserve"> </w:t>
      </w:r>
    </w:p>
    <w:p w14:paraId="0FCD0DDF" w14:textId="77777777" w:rsidR="00CF505B" w:rsidRDefault="00CF505B" w:rsidP="00CF505B">
      <w:pPr>
        <w:pStyle w:val="ListParagraph"/>
        <w:numPr>
          <w:ilvl w:val="0"/>
          <w:numId w:val="6"/>
        </w:numPr>
        <w:spacing w:line="256" w:lineRule="auto"/>
        <w:rPr>
          <w:sz w:val="24"/>
          <w:szCs w:val="32"/>
        </w:rPr>
      </w:pPr>
      <w:r>
        <w:rPr>
          <w:sz w:val="24"/>
          <w:szCs w:val="32"/>
        </w:rPr>
        <w:t xml:space="preserve">More information on hazardous waste procedures and pick-up can be found here: </w:t>
      </w:r>
      <w:hyperlink r:id="rId8" w:history="1">
        <w:r>
          <w:rPr>
            <w:rStyle w:val="Hyperlink"/>
            <w:sz w:val="24"/>
            <w:szCs w:val="32"/>
          </w:rPr>
          <w:t>www.z.umn.edu/hazwaste</w:t>
        </w:r>
      </w:hyperlink>
    </w:p>
    <w:p w14:paraId="717C07BF" w14:textId="1E73CFE4" w:rsidR="00E92DB8" w:rsidRDefault="00E92DB8" w:rsidP="002E0279">
      <w:pPr>
        <w:rPr>
          <w:i/>
          <w:sz w:val="24"/>
          <w:szCs w:val="32"/>
        </w:rPr>
      </w:pPr>
      <w:r w:rsidRPr="006479D1">
        <w:rPr>
          <w:sz w:val="24"/>
          <w:szCs w:val="32"/>
        </w:rPr>
        <w:t xml:space="preserve">In the </w:t>
      </w:r>
      <w:r w:rsidR="00F104C6">
        <w:rPr>
          <w:sz w:val="24"/>
          <w:szCs w:val="32"/>
          <w:highlight w:val="yellow"/>
        </w:rPr>
        <w:t>Scully lab</w:t>
      </w:r>
      <w:r w:rsidRPr="006479D1">
        <w:rPr>
          <w:sz w:val="24"/>
          <w:szCs w:val="32"/>
        </w:rPr>
        <w:t xml:space="preserve">, hazardous waste is stored: </w:t>
      </w:r>
      <w:r w:rsidR="006479D1" w:rsidRPr="006479D1">
        <w:rPr>
          <w:i/>
          <w:sz w:val="24"/>
          <w:szCs w:val="32"/>
          <w:highlight w:val="yellow"/>
        </w:rPr>
        <w:t>list the location of your hazardous waste storage area(s).</w:t>
      </w:r>
    </w:p>
    <w:sectPr w:rsidR="00E92DB8" w:rsidSect="00CF505B">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109F" w14:textId="77777777" w:rsidR="004C1D77" w:rsidRDefault="004C1D77" w:rsidP="00F104C6">
      <w:pPr>
        <w:spacing w:after="0" w:line="240" w:lineRule="auto"/>
      </w:pPr>
      <w:r>
        <w:separator/>
      </w:r>
    </w:p>
  </w:endnote>
  <w:endnote w:type="continuationSeparator" w:id="0">
    <w:p w14:paraId="19D6BA55" w14:textId="77777777" w:rsidR="004C1D77" w:rsidRDefault="004C1D77" w:rsidP="00F1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423788"/>
      <w:docPartObj>
        <w:docPartGallery w:val="Page Numbers (Bottom of Page)"/>
        <w:docPartUnique/>
      </w:docPartObj>
    </w:sdtPr>
    <w:sdtEndPr/>
    <w:sdtContent>
      <w:sdt>
        <w:sdtPr>
          <w:id w:val="-1769616900"/>
          <w:docPartObj>
            <w:docPartGallery w:val="Page Numbers (Top of Page)"/>
            <w:docPartUnique/>
          </w:docPartObj>
        </w:sdtPr>
        <w:sdtEndPr/>
        <w:sdtContent>
          <w:p w14:paraId="03E6DEA7" w14:textId="4DDB86E4" w:rsidR="00F104C6" w:rsidRDefault="009335C3" w:rsidP="009335C3">
            <w:pPr>
              <w:pStyle w:val="Footer"/>
            </w:pPr>
            <w:r>
              <w:t>Toxic materials</w:t>
            </w:r>
            <w:r>
              <w:t xml:space="preserve"> SOP template 2019 11 21</w:t>
            </w:r>
            <w:r>
              <w:tab/>
            </w:r>
            <w:r>
              <w:tab/>
            </w:r>
            <w:r w:rsidR="00F104C6">
              <w:t xml:space="preserve">Page </w:t>
            </w:r>
            <w:r w:rsidR="00F104C6">
              <w:rPr>
                <w:b/>
                <w:bCs/>
                <w:sz w:val="24"/>
                <w:szCs w:val="24"/>
              </w:rPr>
              <w:fldChar w:fldCharType="begin"/>
            </w:r>
            <w:r w:rsidR="00F104C6">
              <w:rPr>
                <w:b/>
                <w:bCs/>
              </w:rPr>
              <w:instrText xml:space="preserve"> PAGE </w:instrText>
            </w:r>
            <w:r w:rsidR="00F104C6">
              <w:rPr>
                <w:b/>
                <w:bCs/>
                <w:sz w:val="24"/>
                <w:szCs w:val="24"/>
              </w:rPr>
              <w:fldChar w:fldCharType="separate"/>
            </w:r>
            <w:r>
              <w:rPr>
                <w:b/>
                <w:bCs/>
                <w:noProof/>
              </w:rPr>
              <w:t>5</w:t>
            </w:r>
            <w:r w:rsidR="00F104C6">
              <w:rPr>
                <w:b/>
                <w:bCs/>
                <w:sz w:val="24"/>
                <w:szCs w:val="24"/>
              </w:rPr>
              <w:fldChar w:fldCharType="end"/>
            </w:r>
            <w:r w:rsidR="00F104C6">
              <w:t xml:space="preserve"> of </w:t>
            </w:r>
            <w:r w:rsidR="00F104C6">
              <w:rPr>
                <w:b/>
                <w:bCs/>
                <w:sz w:val="24"/>
                <w:szCs w:val="24"/>
              </w:rPr>
              <w:fldChar w:fldCharType="begin"/>
            </w:r>
            <w:r w:rsidR="00F104C6">
              <w:rPr>
                <w:b/>
                <w:bCs/>
              </w:rPr>
              <w:instrText xml:space="preserve"> NUMPAGES  </w:instrText>
            </w:r>
            <w:r w:rsidR="00F104C6">
              <w:rPr>
                <w:b/>
                <w:bCs/>
                <w:sz w:val="24"/>
                <w:szCs w:val="24"/>
              </w:rPr>
              <w:fldChar w:fldCharType="separate"/>
            </w:r>
            <w:r>
              <w:rPr>
                <w:b/>
                <w:bCs/>
                <w:noProof/>
              </w:rPr>
              <w:t>5</w:t>
            </w:r>
            <w:r w:rsidR="00F104C6">
              <w:rPr>
                <w:b/>
                <w:bCs/>
                <w:sz w:val="24"/>
                <w:szCs w:val="24"/>
              </w:rPr>
              <w:fldChar w:fldCharType="end"/>
            </w:r>
          </w:p>
        </w:sdtContent>
      </w:sdt>
    </w:sdtContent>
  </w:sdt>
  <w:p w14:paraId="6E0C17C5" w14:textId="77777777" w:rsidR="00F104C6" w:rsidRDefault="00F10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4C69" w14:textId="77777777" w:rsidR="004C1D77" w:rsidRDefault="004C1D77" w:rsidP="00F104C6">
      <w:pPr>
        <w:spacing w:after="0" w:line="240" w:lineRule="auto"/>
      </w:pPr>
      <w:r>
        <w:separator/>
      </w:r>
    </w:p>
  </w:footnote>
  <w:footnote w:type="continuationSeparator" w:id="0">
    <w:p w14:paraId="3F1239C2" w14:textId="77777777" w:rsidR="004C1D77" w:rsidRDefault="004C1D77" w:rsidP="00F1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0177" w14:textId="7F3BB05E" w:rsidR="00CF505B" w:rsidRDefault="00CF505B">
    <w:pPr>
      <w:pStyle w:val="Header"/>
    </w:pPr>
    <w:r w:rsidRPr="00CF505B">
      <w:rPr>
        <w:rFonts w:ascii="Times New Roman" w:eastAsia="Calibri" w:hAnsi="Times New Roman" w:cs="Times New Roman"/>
        <w:noProof/>
        <w:sz w:val="24"/>
        <w:szCs w:val="24"/>
      </w:rPr>
      <mc:AlternateContent>
        <mc:Choice Requires="wps">
          <w:drawing>
            <wp:anchor distT="0" distB="0" distL="114300" distR="114300" simplePos="0" relativeHeight="251628032" behindDoc="0" locked="0" layoutInCell="1" allowOverlap="1" wp14:anchorId="730B6B0C" wp14:editId="093A36F1">
              <wp:simplePos x="0" y="0"/>
              <wp:positionH relativeFrom="column">
                <wp:posOffset>-333375</wp:posOffset>
              </wp:positionH>
              <wp:positionV relativeFrom="paragraph">
                <wp:posOffset>-295275</wp:posOffset>
              </wp:positionV>
              <wp:extent cx="6962775" cy="585470"/>
              <wp:effectExtent l="0" t="0" r="9525" b="5080"/>
              <wp:wrapNone/>
              <wp:docPr id="3" name="Rectangle 3"/>
              <wp:cNvGraphicFramePr/>
              <a:graphic xmlns:a="http://schemas.openxmlformats.org/drawingml/2006/main">
                <a:graphicData uri="http://schemas.microsoft.com/office/word/2010/wordprocessingShape">
                  <wps:wsp>
                    <wps:cNvSpPr/>
                    <wps:spPr>
                      <a:xfrm>
                        <a:off x="0" y="0"/>
                        <a:ext cx="6962775" cy="585470"/>
                      </a:xfrm>
                      <a:prstGeom prst="rect">
                        <a:avLst/>
                      </a:prstGeom>
                      <a:solidFill>
                        <a:srgbClr val="FFCC33"/>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2771EBF" id="Rectangle 3" o:spid="_x0000_s1026" style="position:absolute;margin-left:-26.25pt;margin-top:-23.25pt;width:548.25pt;height:46.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" fillcolor="#fc3" stroked="f" strokeweight="2pt"/>
          </w:pict>
        </mc:Fallback>
      </mc:AlternateContent>
    </w:r>
    <w:r w:rsidRPr="00CF505B">
      <w:rPr>
        <w:rFonts w:ascii="Times New Roman" w:eastAsia="Calibri" w:hAnsi="Times New Roman" w:cs="Times New Roman"/>
        <w:noProof/>
        <w:sz w:val="24"/>
        <w:szCs w:val="24"/>
      </w:rPr>
      <mc:AlternateContent>
        <mc:Choice Requires="wps">
          <w:drawing>
            <wp:anchor distT="0" distB="0" distL="114300" distR="114300" simplePos="0" relativeHeight="251684352" behindDoc="0" locked="0" layoutInCell="1" allowOverlap="1" wp14:anchorId="39F4174C" wp14:editId="51857DDC">
              <wp:simplePos x="0" y="0"/>
              <wp:positionH relativeFrom="column">
                <wp:posOffset>-317500</wp:posOffset>
              </wp:positionH>
              <wp:positionV relativeFrom="paragraph">
                <wp:posOffset>-174625</wp:posOffset>
              </wp:positionV>
              <wp:extent cx="2927350" cy="356235"/>
              <wp:effectExtent l="0" t="0" r="0" b="0"/>
              <wp:wrapNone/>
              <wp:docPr id="2" name="TextBox 4"/>
              <wp:cNvGraphicFramePr/>
              <a:graphic xmlns:a="http://schemas.openxmlformats.org/drawingml/2006/main">
                <a:graphicData uri="http://schemas.microsoft.com/office/word/2010/wordprocessingShape">
                  <wps:wsp>
                    <wps:cNvSpPr txBox="1"/>
                    <wps:spPr>
                      <a:xfrm>
                        <a:off x="0" y="0"/>
                        <a:ext cx="2927350" cy="356235"/>
                      </a:xfrm>
                      <a:prstGeom prst="rect">
                        <a:avLst/>
                      </a:prstGeom>
                      <a:noFill/>
                    </wps:spPr>
                    <wps:txbx>
                      <w:txbxContent>
                        <w:p w14:paraId="37DAEFFB" w14:textId="77777777" w:rsidR="00CF505B" w:rsidRDefault="00CF505B" w:rsidP="00CF505B">
                          <w:pPr>
                            <w:pStyle w:val="NormalWeb"/>
                            <w:spacing w:after="0"/>
                          </w:pPr>
                          <w:r>
                            <w:rPr>
                              <w:rFonts w:ascii="Gill Sans MT" w:eastAsia="Malgun Gothic" w:hAnsi="Gill Sans MT" w:cs="Lucida Sans Unicode"/>
                              <w:color w:val="7A0019"/>
                              <w:kern w:val="24"/>
                              <w:sz w:val="36"/>
                              <w:szCs w:val="36"/>
                            </w:rPr>
                            <w:t>University Health and Safety</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39F4174C" id="_x0000_t202" coordsize="21600,21600" o:spt="202" path="m,l,21600r21600,l21600,xe">
              <v:stroke joinstyle="miter"/>
              <v:path gradientshapeok="t" o:connecttype="rect"/>
            </v:shapetype>
            <v:shape id="TextBox 4" o:spid="_x0000_s1026" type="#_x0000_t202" style="position:absolute;margin-left:-25pt;margin-top:-13.75pt;width:230.5pt;height:28.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" filled="f" stroked="f">
              <v:textbox>
                <w:txbxContent>
                  <w:p w14:paraId="37DAEFFB" w14:textId="77777777" w:rsidR="00CF505B" w:rsidRDefault="00CF505B" w:rsidP="00CF505B">
                    <w:pPr>
                      <w:pStyle w:val="NormalWeb"/>
                      <w:spacing w:after="0"/>
                    </w:pPr>
                    <w:r>
                      <w:rPr>
                        <w:rFonts w:ascii="Gill Sans MT" w:eastAsia="Malgun Gothic" w:hAnsi="Gill Sans MT" w:cs="Lucida Sans Unicode"/>
                        <w:color w:val="7A0019"/>
                        <w:kern w:val="24"/>
                        <w:sz w:val="36"/>
                        <w:szCs w:val="36"/>
                      </w:rPr>
                      <w:t>University Health and Safety</w:t>
                    </w:r>
                  </w:p>
                </w:txbxContent>
              </v:textbox>
            </v:shape>
          </w:pict>
        </mc:Fallback>
      </mc:AlternateContent>
    </w:r>
    <w:r w:rsidRPr="00CF505B">
      <w:rPr>
        <w:rFonts w:ascii="Times New Roman" w:eastAsia="Calibri" w:hAnsi="Times New Roman" w:cs="Times New Roman"/>
        <w:noProof/>
        <w:sz w:val="24"/>
        <w:szCs w:val="24"/>
      </w:rPr>
      <w:drawing>
        <wp:anchor distT="0" distB="0" distL="114300" distR="114300" simplePos="0" relativeHeight="251740672" behindDoc="0" locked="0" layoutInCell="1" allowOverlap="1" wp14:anchorId="69C96EE3" wp14:editId="05F2DFEF">
          <wp:simplePos x="0" y="0"/>
          <wp:positionH relativeFrom="column">
            <wp:posOffset>5569585</wp:posOffset>
          </wp:positionH>
          <wp:positionV relativeFrom="paragraph">
            <wp:posOffset>-248920</wp:posOffset>
          </wp:positionV>
          <wp:extent cx="930910" cy="502285"/>
          <wp:effectExtent l="0" t="0" r="2540" b="0"/>
          <wp:wrapNone/>
          <wp:docPr id="7" name="Picture 3" descr="M2ou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ou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502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ABA"/>
    <w:multiLevelType w:val="hybridMultilevel"/>
    <w:tmpl w:val="7772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05BC"/>
    <w:multiLevelType w:val="hybridMultilevel"/>
    <w:tmpl w:val="AAA6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518A"/>
    <w:multiLevelType w:val="hybridMultilevel"/>
    <w:tmpl w:val="23CC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1710"/>
    <w:multiLevelType w:val="hybridMultilevel"/>
    <w:tmpl w:val="FB9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47221"/>
    <w:multiLevelType w:val="hybridMultilevel"/>
    <w:tmpl w:val="7C2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174C6"/>
    <w:multiLevelType w:val="hybridMultilevel"/>
    <w:tmpl w:val="6820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2783E"/>
    <w:multiLevelType w:val="hybridMultilevel"/>
    <w:tmpl w:val="74F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E2A75"/>
    <w:multiLevelType w:val="hybridMultilevel"/>
    <w:tmpl w:val="CDD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9"/>
    <w:rsid w:val="00017E99"/>
    <w:rsid w:val="000A67B8"/>
    <w:rsid w:val="000D746D"/>
    <w:rsid w:val="000F2784"/>
    <w:rsid w:val="001412C5"/>
    <w:rsid w:val="001D0C0A"/>
    <w:rsid w:val="001D7616"/>
    <w:rsid w:val="001E7383"/>
    <w:rsid w:val="0020464C"/>
    <w:rsid w:val="00252EDC"/>
    <w:rsid w:val="00293378"/>
    <w:rsid w:val="002E0279"/>
    <w:rsid w:val="00393339"/>
    <w:rsid w:val="003F2D91"/>
    <w:rsid w:val="0041191C"/>
    <w:rsid w:val="00465350"/>
    <w:rsid w:val="004770FE"/>
    <w:rsid w:val="0049623D"/>
    <w:rsid w:val="004B353F"/>
    <w:rsid w:val="004C1D77"/>
    <w:rsid w:val="004D1643"/>
    <w:rsid w:val="004F40D6"/>
    <w:rsid w:val="005666C0"/>
    <w:rsid w:val="005B4EA7"/>
    <w:rsid w:val="005B6E29"/>
    <w:rsid w:val="00611334"/>
    <w:rsid w:val="006479CD"/>
    <w:rsid w:val="006479D1"/>
    <w:rsid w:val="006964C9"/>
    <w:rsid w:val="006B012F"/>
    <w:rsid w:val="007254F5"/>
    <w:rsid w:val="00744819"/>
    <w:rsid w:val="007653BB"/>
    <w:rsid w:val="007E6904"/>
    <w:rsid w:val="00831008"/>
    <w:rsid w:val="00841159"/>
    <w:rsid w:val="00867E3B"/>
    <w:rsid w:val="008729A7"/>
    <w:rsid w:val="008943BD"/>
    <w:rsid w:val="008E0FA5"/>
    <w:rsid w:val="009335C3"/>
    <w:rsid w:val="0093593E"/>
    <w:rsid w:val="00946B70"/>
    <w:rsid w:val="00976519"/>
    <w:rsid w:val="009E098C"/>
    <w:rsid w:val="009F3627"/>
    <w:rsid w:val="00A23DEE"/>
    <w:rsid w:val="00A30976"/>
    <w:rsid w:val="00A6240B"/>
    <w:rsid w:val="00A74595"/>
    <w:rsid w:val="00AA5F92"/>
    <w:rsid w:val="00AC48F4"/>
    <w:rsid w:val="00B03D87"/>
    <w:rsid w:val="00B22091"/>
    <w:rsid w:val="00B22302"/>
    <w:rsid w:val="00B73687"/>
    <w:rsid w:val="00BD6DE0"/>
    <w:rsid w:val="00BF7957"/>
    <w:rsid w:val="00C1264F"/>
    <w:rsid w:val="00C725A0"/>
    <w:rsid w:val="00CA35D8"/>
    <w:rsid w:val="00CD22F3"/>
    <w:rsid w:val="00CE70EC"/>
    <w:rsid w:val="00CF505B"/>
    <w:rsid w:val="00D2790C"/>
    <w:rsid w:val="00D41072"/>
    <w:rsid w:val="00DF5D3E"/>
    <w:rsid w:val="00E05504"/>
    <w:rsid w:val="00E11DB9"/>
    <w:rsid w:val="00E366E0"/>
    <w:rsid w:val="00E753A4"/>
    <w:rsid w:val="00E7698B"/>
    <w:rsid w:val="00E92DB8"/>
    <w:rsid w:val="00EA148D"/>
    <w:rsid w:val="00EC2A51"/>
    <w:rsid w:val="00EC2F87"/>
    <w:rsid w:val="00F043C1"/>
    <w:rsid w:val="00F104C6"/>
    <w:rsid w:val="00F60929"/>
    <w:rsid w:val="00FB01A4"/>
    <w:rsid w:val="00FE3038"/>
    <w:rsid w:val="00FE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A442A"/>
  <w15:docId w15:val="{285D0FB6-250E-4003-A9C0-90891A98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2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EDC"/>
    <w:rPr>
      <w:sz w:val="16"/>
      <w:szCs w:val="16"/>
    </w:rPr>
  </w:style>
  <w:style w:type="paragraph" w:styleId="CommentText">
    <w:name w:val="annotation text"/>
    <w:basedOn w:val="Normal"/>
    <w:link w:val="CommentTextChar"/>
    <w:uiPriority w:val="99"/>
    <w:semiHidden/>
    <w:unhideWhenUsed/>
    <w:rsid w:val="00252EDC"/>
    <w:pPr>
      <w:spacing w:line="240" w:lineRule="auto"/>
    </w:pPr>
    <w:rPr>
      <w:sz w:val="20"/>
      <w:szCs w:val="20"/>
    </w:rPr>
  </w:style>
  <w:style w:type="character" w:customStyle="1" w:styleId="CommentTextChar">
    <w:name w:val="Comment Text Char"/>
    <w:basedOn w:val="DefaultParagraphFont"/>
    <w:link w:val="CommentText"/>
    <w:uiPriority w:val="99"/>
    <w:semiHidden/>
    <w:rsid w:val="00252EDC"/>
    <w:rPr>
      <w:sz w:val="20"/>
      <w:szCs w:val="20"/>
    </w:rPr>
  </w:style>
  <w:style w:type="paragraph" w:styleId="CommentSubject">
    <w:name w:val="annotation subject"/>
    <w:basedOn w:val="CommentText"/>
    <w:next w:val="CommentText"/>
    <w:link w:val="CommentSubjectChar"/>
    <w:uiPriority w:val="99"/>
    <w:semiHidden/>
    <w:unhideWhenUsed/>
    <w:rsid w:val="00252EDC"/>
    <w:rPr>
      <w:b/>
      <w:bCs/>
    </w:rPr>
  </w:style>
  <w:style w:type="character" w:customStyle="1" w:styleId="CommentSubjectChar">
    <w:name w:val="Comment Subject Char"/>
    <w:basedOn w:val="CommentTextChar"/>
    <w:link w:val="CommentSubject"/>
    <w:uiPriority w:val="99"/>
    <w:semiHidden/>
    <w:rsid w:val="00252EDC"/>
    <w:rPr>
      <w:b/>
      <w:bCs/>
      <w:sz w:val="20"/>
      <w:szCs w:val="20"/>
    </w:rPr>
  </w:style>
  <w:style w:type="paragraph" w:styleId="BalloonText">
    <w:name w:val="Balloon Text"/>
    <w:basedOn w:val="Normal"/>
    <w:link w:val="BalloonTextChar"/>
    <w:uiPriority w:val="99"/>
    <w:semiHidden/>
    <w:unhideWhenUsed/>
    <w:rsid w:val="0025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DC"/>
    <w:rPr>
      <w:rFonts w:ascii="Segoe UI" w:hAnsi="Segoe UI" w:cs="Segoe UI"/>
      <w:sz w:val="18"/>
      <w:szCs w:val="18"/>
    </w:rPr>
  </w:style>
  <w:style w:type="paragraph" w:styleId="ListParagraph">
    <w:name w:val="List Paragraph"/>
    <w:basedOn w:val="Normal"/>
    <w:uiPriority w:val="34"/>
    <w:qFormat/>
    <w:rsid w:val="00252EDC"/>
    <w:pPr>
      <w:ind w:left="720"/>
      <w:contextualSpacing/>
    </w:pPr>
  </w:style>
  <w:style w:type="character" w:styleId="Hyperlink">
    <w:name w:val="Hyperlink"/>
    <w:basedOn w:val="DefaultParagraphFont"/>
    <w:uiPriority w:val="99"/>
    <w:unhideWhenUsed/>
    <w:rsid w:val="00D2790C"/>
    <w:rPr>
      <w:color w:val="0563C1" w:themeColor="hyperlink"/>
      <w:u w:val="single"/>
    </w:rPr>
  </w:style>
  <w:style w:type="paragraph" w:styleId="Header">
    <w:name w:val="header"/>
    <w:basedOn w:val="Normal"/>
    <w:link w:val="HeaderChar"/>
    <w:uiPriority w:val="99"/>
    <w:unhideWhenUsed/>
    <w:rsid w:val="00F1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4C6"/>
  </w:style>
  <w:style w:type="paragraph" w:styleId="Footer">
    <w:name w:val="footer"/>
    <w:basedOn w:val="Normal"/>
    <w:link w:val="FooterChar"/>
    <w:uiPriority w:val="99"/>
    <w:unhideWhenUsed/>
    <w:rsid w:val="00F1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4C6"/>
  </w:style>
  <w:style w:type="paragraph" w:styleId="NormalWeb">
    <w:name w:val="Normal (Web)"/>
    <w:basedOn w:val="Normal"/>
    <w:uiPriority w:val="99"/>
    <w:semiHidden/>
    <w:unhideWhenUsed/>
    <w:rsid w:val="00CF50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08613">
      <w:bodyDiv w:val="1"/>
      <w:marLeft w:val="0"/>
      <w:marRight w:val="0"/>
      <w:marTop w:val="0"/>
      <w:marBottom w:val="0"/>
      <w:divBdr>
        <w:top w:val="none" w:sz="0" w:space="0" w:color="auto"/>
        <w:left w:val="none" w:sz="0" w:space="0" w:color="auto"/>
        <w:bottom w:val="none" w:sz="0" w:space="0" w:color="auto"/>
        <w:right w:val="none" w:sz="0" w:space="0" w:color="auto"/>
      </w:divBdr>
    </w:div>
    <w:div w:id="335572046">
      <w:bodyDiv w:val="1"/>
      <w:marLeft w:val="0"/>
      <w:marRight w:val="0"/>
      <w:marTop w:val="0"/>
      <w:marBottom w:val="0"/>
      <w:divBdr>
        <w:top w:val="none" w:sz="0" w:space="0" w:color="auto"/>
        <w:left w:val="none" w:sz="0" w:space="0" w:color="auto"/>
        <w:bottom w:val="none" w:sz="0" w:space="0" w:color="auto"/>
        <w:right w:val="none" w:sz="0" w:space="0" w:color="auto"/>
      </w:divBdr>
    </w:div>
    <w:div w:id="407272807">
      <w:bodyDiv w:val="1"/>
      <w:marLeft w:val="0"/>
      <w:marRight w:val="0"/>
      <w:marTop w:val="0"/>
      <w:marBottom w:val="0"/>
      <w:divBdr>
        <w:top w:val="none" w:sz="0" w:space="0" w:color="auto"/>
        <w:left w:val="none" w:sz="0" w:space="0" w:color="auto"/>
        <w:bottom w:val="none" w:sz="0" w:space="0" w:color="auto"/>
        <w:right w:val="none" w:sz="0" w:space="0" w:color="auto"/>
      </w:divBdr>
    </w:div>
    <w:div w:id="586352854">
      <w:bodyDiv w:val="1"/>
      <w:marLeft w:val="0"/>
      <w:marRight w:val="0"/>
      <w:marTop w:val="0"/>
      <w:marBottom w:val="0"/>
      <w:divBdr>
        <w:top w:val="none" w:sz="0" w:space="0" w:color="auto"/>
        <w:left w:val="none" w:sz="0" w:space="0" w:color="auto"/>
        <w:bottom w:val="none" w:sz="0" w:space="0" w:color="auto"/>
        <w:right w:val="none" w:sz="0" w:space="0" w:color="auto"/>
      </w:divBdr>
    </w:div>
    <w:div w:id="686250752">
      <w:bodyDiv w:val="1"/>
      <w:marLeft w:val="0"/>
      <w:marRight w:val="0"/>
      <w:marTop w:val="0"/>
      <w:marBottom w:val="0"/>
      <w:divBdr>
        <w:top w:val="none" w:sz="0" w:space="0" w:color="auto"/>
        <w:left w:val="none" w:sz="0" w:space="0" w:color="auto"/>
        <w:bottom w:val="none" w:sz="0" w:space="0" w:color="auto"/>
        <w:right w:val="none" w:sz="0" w:space="0" w:color="auto"/>
      </w:divBdr>
    </w:div>
    <w:div w:id="713045891">
      <w:bodyDiv w:val="1"/>
      <w:marLeft w:val="0"/>
      <w:marRight w:val="0"/>
      <w:marTop w:val="0"/>
      <w:marBottom w:val="0"/>
      <w:divBdr>
        <w:top w:val="none" w:sz="0" w:space="0" w:color="auto"/>
        <w:left w:val="none" w:sz="0" w:space="0" w:color="auto"/>
        <w:bottom w:val="none" w:sz="0" w:space="0" w:color="auto"/>
        <w:right w:val="none" w:sz="0" w:space="0" w:color="auto"/>
      </w:divBdr>
    </w:div>
    <w:div w:id="1821533137">
      <w:bodyDiv w:val="1"/>
      <w:marLeft w:val="0"/>
      <w:marRight w:val="0"/>
      <w:marTop w:val="0"/>
      <w:marBottom w:val="0"/>
      <w:divBdr>
        <w:top w:val="none" w:sz="0" w:space="0" w:color="auto"/>
        <w:left w:val="none" w:sz="0" w:space="0" w:color="auto"/>
        <w:bottom w:val="none" w:sz="0" w:space="0" w:color="auto"/>
        <w:right w:val="none" w:sz="0" w:space="0" w:color="auto"/>
      </w:divBdr>
    </w:div>
    <w:div w:id="19145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UHS%20All\Lab%20&amp;amp;%20Research%20Safety\7%20Projects\SOP%20Templates\www.z.umn.edu\hazwas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Greenberg</dc:creator>
  <cp:lastModifiedBy>Joseph W Klancher</cp:lastModifiedBy>
  <cp:revision>3</cp:revision>
  <dcterms:created xsi:type="dcterms:W3CDTF">2019-07-30T13:29:00Z</dcterms:created>
  <dcterms:modified xsi:type="dcterms:W3CDTF">2019-11-21T22:50:00Z</dcterms:modified>
</cp:coreProperties>
</file>